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C" w:rsidRPr="00551A7C" w:rsidRDefault="00551A7C" w:rsidP="00551A7C">
      <w:pPr>
        <w:shd w:val="clear" w:color="auto" w:fill="FFFFFF"/>
        <w:spacing w:after="231" w:line="272" w:lineRule="atLeast"/>
        <w:outlineLvl w:val="1"/>
        <w:rPr>
          <w:rFonts w:ascii="Arial" w:eastAsia="Times New Roman" w:hAnsi="Arial" w:cs="Arial"/>
          <w:b/>
          <w:bCs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FF0000"/>
          <w:sz w:val="19"/>
          <w:szCs w:val="19"/>
          <w:lang w:eastAsia="ru-RU"/>
        </w:rPr>
        <w:t xml:space="preserve">                 </w:t>
      </w:r>
      <w:r w:rsidRPr="00551A7C">
        <w:rPr>
          <w:rFonts w:ascii="Arial" w:eastAsia="Times New Roman" w:hAnsi="Arial" w:cs="Arial"/>
          <w:b/>
          <w:bCs/>
          <w:sz w:val="25"/>
          <w:szCs w:val="25"/>
          <w:lang w:eastAsia="ru-RU"/>
        </w:rPr>
        <w:t xml:space="preserve"> Методические рекомендации по разработке и принятию организациями мер по предупреждению и противодействию коррупции</w:t>
      </w:r>
    </w:p>
    <w:p w:rsidR="00C61A6A" w:rsidRPr="00551A7C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bookmarkStart w:id="0" w:name="0"/>
      <w:bookmarkEnd w:id="0"/>
      <w:r w:rsidRPr="00551A7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I. Введение</w:t>
      </w:r>
    </w:p>
    <w:p w:rsidR="00C61A6A" w:rsidRPr="00551A7C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51A7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 Цели и задачи Методических рекомендаций</w:t>
      </w:r>
    </w:p>
    <w:p w:rsidR="00C61A6A" w:rsidRPr="00D77A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D77A14">
        <w:rPr>
          <w:rFonts w:ascii="Arial" w:eastAsia="Times New Roman" w:hAnsi="Arial" w:cs="Arial"/>
          <w:sz w:val="20"/>
          <w:szCs w:val="20"/>
          <w:lang w:eastAsia="ru-RU"/>
        </w:rPr>
        <w:t>Методические рекомендации по разработке и принятию организациями мер по предупреждению и противодействию коррупции (далее - Методические рекомендации) разработаны во исполнение подпункта «б» пункта 25 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и в соответствии со статьей 13.3 Федерального закона от 25 декабря 2008 г. № 273-ФЗ «О противодействии</w:t>
      </w:r>
      <w:proofErr w:type="gramEnd"/>
      <w:r w:rsidRPr="00D77A14">
        <w:rPr>
          <w:rFonts w:ascii="Arial" w:eastAsia="Times New Roman" w:hAnsi="Arial" w:cs="Arial"/>
          <w:sz w:val="20"/>
          <w:szCs w:val="20"/>
          <w:lang w:eastAsia="ru-RU"/>
        </w:rPr>
        <w:t xml:space="preserve"> коррупции».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собственности, организационно-правовых форм, отраслевой принадлежности и иных обстоятельств.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Задачами Методических рекомендаций являются: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- информирование организаций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- определение основных принципов противодействия коррупции в организациях;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- методическое обеспечение разработки и реализации мер, направленных на профилактику и противодействие коррупции в организации.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1877F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2. Термины и определения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77FC">
        <w:rPr>
          <w:rFonts w:ascii="Arial" w:eastAsia="Times New Roman" w:hAnsi="Arial" w:cs="Arial"/>
          <w:sz w:val="20"/>
          <w:szCs w:val="20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877FC">
        <w:rPr>
          <w:rFonts w:ascii="Arial" w:eastAsia="Times New Roman" w:hAnsi="Arial" w:cs="Arial"/>
          <w:sz w:val="20"/>
          <w:szCs w:val="20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в) по минимизации и (или) ликвидации последствий коррупционных правонарушений.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77FC">
        <w:rPr>
          <w:rFonts w:ascii="Arial" w:eastAsia="Times New Roman" w:hAnsi="Arial" w:cs="Arial"/>
          <w:sz w:val="20"/>
          <w:szCs w:val="20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1877FC">
        <w:rPr>
          <w:rFonts w:ascii="Arial" w:eastAsia="Times New Roman" w:hAnsi="Arial" w:cs="Arial"/>
          <w:sz w:val="20"/>
          <w:szCs w:val="20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89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Конфликт интересов - ситуация, при которой личная заинтересованность (прямая или косвенная) </w:t>
      </w:r>
      <w:r w:rsidR="00893A91"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муниципального служащего</w:t>
      </w:r>
      <w:r w:rsidRPr="00893A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</w:t>
      </w:r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</w:t>
      </w:r>
      <w:proofErr w:type="gramEnd"/>
      <w:r w:rsidRPr="001877FC">
        <w:rPr>
          <w:rFonts w:ascii="Arial" w:eastAsia="Times New Roman" w:hAnsi="Arial" w:cs="Arial"/>
          <w:sz w:val="20"/>
          <w:szCs w:val="20"/>
          <w:lang w:eastAsia="ru-RU"/>
        </w:rPr>
        <w:t>, работником (представителем организации) которой он является.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Личная заинтересованность </w:t>
      </w:r>
      <w:r w:rsidR="00893A91"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муниципального служащего</w:t>
      </w:r>
      <w:r w:rsidR="00893A91"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93A91">
        <w:rPr>
          <w:rFonts w:ascii="Arial" w:eastAsia="Times New Roman" w:hAnsi="Arial" w:cs="Arial"/>
          <w:sz w:val="20"/>
          <w:szCs w:val="20"/>
          <w:lang w:eastAsia="ru-RU"/>
        </w:rPr>
        <w:t>- заинтересованность</w:t>
      </w:r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, связанная </w:t>
      </w:r>
      <w:r w:rsidR="00893A91">
        <w:rPr>
          <w:rFonts w:ascii="Arial" w:eastAsia="Times New Roman" w:hAnsi="Arial" w:cs="Arial"/>
          <w:sz w:val="20"/>
          <w:szCs w:val="20"/>
          <w:lang w:eastAsia="ru-RU"/>
        </w:rPr>
        <w:t xml:space="preserve">с возможностью получения </w:t>
      </w:r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Лица, ответственные за реализацию </w:t>
      </w:r>
      <w:proofErr w:type="spellStart"/>
      <w:r w:rsidRPr="001877FC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 в организации, могут использовать настоящие Методические рекомендации в целях: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>- разработки и реализации в организации конкретных мер и мероприятий, направленных на предупреждение и противодействие коррупции, включая разработку и внедрение соответствующих регулирующих документов и методических материалов.</w:t>
      </w:r>
    </w:p>
    <w:p w:rsidR="00C61A6A" w:rsidRPr="001877FC" w:rsidRDefault="00893A91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муниципальные</w:t>
      </w:r>
      <w:r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ие</w:t>
      </w:r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1A6A" w:rsidRPr="001877FC">
        <w:rPr>
          <w:rFonts w:ascii="Arial" w:eastAsia="Times New Roman" w:hAnsi="Arial" w:cs="Arial"/>
          <w:sz w:val="20"/>
          <w:szCs w:val="20"/>
          <w:lang w:eastAsia="ru-RU"/>
        </w:rPr>
        <w:t>могут использовать Методические рекомендации в целях:</w:t>
      </w:r>
    </w:p>
    <w:p w:rsidR="00C61A6A" w:rsidRPr="001877FC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- получения сведений об обязанностях, которые могут быть возложены на </w:t>
      </w:r>
      <w:r w:rsidR="00893A91"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муниципального служащего</w:t>
      </w:r>
      <w:r w:rsidR="00893A91"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в связи с реализацией </w:t>
      </w:r>
      <w:proofErr w:type="spellStart"/>
      <w:r w:rsidRPr="001877FC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1877FC">
        <w:rPr>
          <w:rFonts w:ascii="Arial" w:eastAsia="Times New Roman" w:hAnsi="Arial" w:cs="Arial"/>
          <w:sz w:val="20"/>
          <w:szCs w:val="20"/>
          <w:lang w:eastAsia="ru-RU"/>
        </w:rPr>
        <w:t xml:space="preserve"> мер.</w:t>
      </w:r>
    </w:p>
    <w:p w:rsidR="00C61A6A" w:rsidRPr="00DA7AF4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A7AF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II. Нормативное правовое обеспечение</w:t>
      </w:r>
    </w:p>
    <w:p w:rsidR="00C61A6A" w:rsidRPr="00DA7AF4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A7AF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 Российское законодательство в сфере предупреждения и противодействия коррупции</w:t>
      </w:r>
    </w:p>
    <w:p w:rsidR="00C61A6A" w:rsidRPr="00DA7AF4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DA7AF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1.1. Обязанность организаций принимать меры по предупреждению коррупции</w:t>
      </w:r>
    </w:p>
    <w:p w:rsidR="00C61A6A" w:rsidRPr="00DA7AF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DA7AF4">
        <w:rPr>
          <w:rFonts w:ascii="Arial" w:eastAsia="Times New Roman" w:hAnsi="Arial" w:cs="Arial"/>
          <w:sz w:val="20"/>
          <w:szCs w:val="20"/>
          <w:lang w:eastAsia="ru-RU"/>
        </w:rPr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- Федеральный закон № 273-ФЗ).</w:t>
      </w:r>
    </w:p>
    <w:p w:rsidR="00C61A6A" w:rsidRPr="00EC373E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C373E">
        <w:rPr>
          <w:rFonts w:ascii="Arial" w:eastAsia="Times New Roman" w:hAnsi="Arial" w:cs="Arial"/>
          <w:sz w:val="20"/>
          <w:szCs w:val="20"/>
          <w:lang w:eastAsia="ru-RU"/>
        </w:rPr>
        <w:t xml:space="preserve">Частью 1 статьи 13.3 Федерального закона № 273-ФЗ установлена обязанность организаций </w:t>
      </w:r>
      <w:proofErr w:type="gramStart"/>
      <w:r w:rsidRPr="00EC373E">
        <w:rPr>
          <w:rFonts w:ascii="Arial" w:eastAsia="Times New Roman" w:hAnsi="Arial" w:cs="Arial"/>
          <w:sz w:val="20"/>
          <w:szCs w:val="20"/>
          <w:lang w:eastAsia="ru-RU"/>
        </w:rPr>
        <w:t>разрабатывать</w:t>
      </w:r>
      <w:proofErr w:type="gramEnd"/>
      <w:r w:rsidRPr="00EC373E">
        <w:rPr>
          <w:rFonts w:ascii="Arial" w:eastAsia="Times New Roman" w:hAnsi="Arial" w:cs="Arial"/>
          <w:sz w:val="20"/>
          <w:szCs w:val="20"/>
          <w:lang w:eastAsia="ru-RU"/>
        </w:rPr>
        <w:t xml:space="preserve"> и принимать меры по предупреждению коррупции. Меры, рекомендуемые к применению в организациях, содержатся в части 2 указанной статьи.</w:t>
      </w:r>
    </w:p>
    <w:p w:rsidR="00C61A6A" w:rsidRPr="0005319A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5319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1.2. Ответственность юридических лиц</w:t>
      </w:r>
    </w:p>
    <w:p w:rsidR="00C61A6A" w:rsidRPr="0005319A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5319A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Общие нормы</w:t>
      </w:r>
    </w:p>
    <w:p w:rsidR="00C61A6A" w:rsidRPr="0005319A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05319A">
        <w:rPr>
          <w:rFonts w:ascii="Arial" w:eastAsia="Times New Roman" w:hAnsi="Arial" w:cs="Arial"/>
          <w:sz w:val="20"/>
          <w:szCs w:val="20"/>
          <w:lang w:eastAsia="ru-RU"/>
        </w:rPr>
        <w:t>Общие нормы, устанавливающие ответственность юридических лиц за коррупционные правонарушения, закреплены в статье 14 Федерального закона № 273-ФЗ.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61A6A" w:rsidRPr="0005319A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5319A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Незаконное вознаграждение от имени юридического лица</w:t>
      </w:r>
    </w:p>
    <w:p w:rsidR="00C61A6A" w:rsidRPr="002A6483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A6483">
        <w:rPr>
          <w:rFonts w:ascii="Arial" w:eastAsia="Times New Roman" w:hAnsi="Arial" w:cs="Arial"/>
          <w:sz w:val="20"/>
          <w:szCs w:val="20"/>
          <w:lang w:eastAsia="ru-RU"/>
        </w:rPr>
        <w:t xml:space="preserve">Статья 19.28 Кодекса Российской Федерации об административных правонарушениях (далее - </w:t>
      </w:r>
      <w:proofErr w:type="spellStart"/>
      <w:r w:rsidRPr="002A6483">
        <w:rPr>
          <w:rFonts w:ascii="Arial" w:eastAsia="Times New Roman" w:hAnsi="Arial" w:cs="Arial"/>
          <w:sz w:val="20"/>
          <w:szCs w:val="20"/>
          <w:lang w:eastAsia="ru-RU"/>
        </w:rPr>
        <w:t>КоАП</w:t>
      </w:r>
      <w:proofErr w:type="spellEnd"/>
      <w:r w:rsidRPr="002A6483">
        <w:rPr>
          <w:rFonts w:ascii="Arial" w:eastAsia="Times New Roman" w:hAnsi="Arial" w:cs="Arial"/>
          <w:sz w:val="20"/>
          <w:szCs w:val="20"/>
          <w:lang w:eastAsia="ru-RU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 w:rsidRPr="002A6483">
        <w:rPr>
          <w:rFonts w:ascii="Arial" w:eastAsia="Times New Roman" w:hAnsi="Arial" w:cs="Arial"/>
          <w:sz w:val="20"/>
          <w:szCs w:val="20"/>
          <w:lang w:eastAsia="ru-RU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</w:t>
      </w:r>
    </w:p>
    <w:p w:rsidR="00C61A6A" w:rsidRPr="002A6483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A6483">
        <w:rPr>
          <w:rFonts w:ascii="Arial" w:eastAsia="Times New Roman" w:hAnsi="Arial" w:cs="Arial"/>
          <w:sz w:val="20"/>
          <w:szCs w:val="20"/>
          <w:lang w:eastAsia="ru-RU"/>
        </w:rPr>
        <w:t xml:space="preserve">Статья 19.28 </w:t>
      </w:r>
      <w:proofErr w:type="spellStart"/>
      <w:r w:rsidRPr="002A6483">
        <w:rPr>
          <w:rFonts w:ascii="Arial" w:eastAsia="Times New Roman" w:hAnsi="Arial" w:cs="Arial"/>
          <w:sz w:val="20"/>
          <w:szCs w:val="20"/>
          <w:lang w:eastAsia="ru-RU"/>
        </w:rPr>
        <w:t>КоАП</w:t>
      </w:r>
      <w:proofErr w:type="spellEnd"/>
      <w:r w:rsidRPr="002A6483">
        <w:rPr>
          <w:rFonts w:ascii="Arial" w:eastAsia="Times New Roman" w:hAnsi="Arial" w:cs="Arial"/>
          <w:sz w:val="20"/>
          <w:szCs w:val="20"/>
          <w:lang w:eastAsia="ru-RU"/>
        </w:rPr>
        <w:t xml:space="preserve">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C61A6A" w:rsidRPr="002A6483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2A6483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Незаконное привлечение к трудовой деятельности бывшего государственного (муниципального) служащего</w:t>
      </w:r>
    </w:p>
    <w:p w:rsidR="00C61A6A" w:rsidRPr="002A6483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A6483">
        <w:rPr>
          <w:rFonts w:ascii="Arial" w:eastAsia="Times New Roman" w:hAnsi="Arial" w:cs="Arial"/>
          <w:sz w:val="20"/>
          <w:szCs w:val="20"/>
          <w:lang w:eastAsia="ru-RU"/>
        </w:rPr>
        <w:t>Организации должны учитывать положения статьи 12 Федерального закона № 273-ФЗ,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C61A6A" w:rsidRPr="002A6483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A6483">
        <w:rPr>
          <w:rFonts w:ascii="Arial" w:eastAsia="Times New Roman" w:hAnsi="Arial" w:cs="Arial"/>
          <w:sz w:val="20"/>
          <w:szCs w:val="20"/>
          <w:lang w:eastAsia="ru-RU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2A6483">
        <w:rPr>
          <w:rFonts w:ascii="Arial" w:eastAsia="Times New Roman" w:hAnsi="Arial" w:cs="Arial"/>
          <w:sz w:val="20"/>
          <w:szCs w:val="20"/>
          <w:lang w:eastAsia="ru-RU"/>
        </w:rPr>
        <w:t xml:space="preserve"> месту его службы.</w:t>
      </w:r>
    </w:p>
    <w:p w:rsidR="00C61A6A" w:rsidRPr="00E00BC6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2A6483">
        <w:rPr>
          <w:rFonts w:ascii="Arial" w:eastAsia="Times New Roman" w:hAnsi="Arial" w:cs="Arial"/>
          <w:sz w:val="20"/>
          <w:szCs w:val="20"/>
          <w:lang w:eastAsia="ru-RU"/>
        </w:rPr>
        <w:t>Порядок представления работодателями указанной информации закреплен в постановлении Правительства Российской Федерации от 8 сентября 2010 г. № 700</w:t>
      </w:r>
      <w:r w:rsidRPr="00E00BC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</w:t>
      </w:r>
    </w:p>
    <w:p w:rsidR="00C61A6A" w:rsidRPr="00733C7F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3C7F">
        <w:rPr>
          <w:rFonts w:ascii="Arial" w:eastAsia="Times New Roman" w:hAnsi="Arial" w:cs="Arial"/>
          <w:sz w:val="20"/>
          <w:szCs w:val="20"/>
          <w:lang w:eastAsia="ru-RU"/>
        </w:rPr>
        <w:t>Названные требования, исходя из положений пункта 1 Указа Президента Российской Федерации от 21 июля 2010 г. № 925 «О мерах по реализации отдельных положений Федерального закона «О противодействии коррупции», распространяются на лиц, замещавших 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proofErr w:type="gramEnd"/>
      <w:r w:rsidRPr="00733C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33C7F">
        <w:rPr>
          <w:rFonts w:ascii="Arial" w:eastAsia="Times New Roman" w:hAnsi="Arial" w:cs="Arial"/>
          <w:sz w:val="20"/>
          <w:szCs w:val="20"/>
          <w:lang w:eastAsia="ru-RU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 2009 г. № 557, либо в перечень должностей, утвержденный руководителем государственного органа в соответствии с разделом III названного перечня.</w:t>
      </w:r>
      <w:proofErr w:type="gramEnd"/>
      <w:r w:rsidRPr="00733C7F">
        <w:rPr>
          <w:rFonts w:ascii="Arial" w:eastAsia="Times New Roman" w:hAnsi="Arial" w:cs="Arial"/>
          <w:sz w:val="20"/>
          <w:szCs w:val="20"/>
          <w:lang w:eastAsia="ru-RU"/>
        </w:rPr>
        <w:t xml:space="preserve"> Перечни должностей государственной гражданской службы субъектов Российской Федерации и муниципальной службы утверждаются </w:t>
      </w:r>
      <w:r w:rsidRPr="00733C7F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органами государственной власти субъектов Российской Федерации и органами местного самоуправления (пункт 4 Указа Президента Российской Федерации от 21 июля 2010 г. № 925).</w:t>
      </w:r>
    </w:p>
    <w:p w:rsidR="00C61A6A" w:rsidRPr="00733C7F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733C7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1.3. Ответственность физических лиц</w:t>
      </w:r>
    </w:p>
    <w:p w:rsidR="00C61A6A" w:rsidRPr="00733C7F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733C7F"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Ответственность физических лиц за коррупционные правонарушения установлена статьей 13 Федерального закона № 273-ФЗ.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Трудовое законодательство не предусматривает специальных оснований </w:t>
      </w:r>
      <w:proofErr w:type="gramStart"/>
      <w:r w:rsidRPr="00733C7F">
        <w:rPr>
          <w:rFonts w:ascii="Arial" w:eastAsia="Times New Roman" w:hAnsi="Arial" w:cs="Arial"/>
          <w:sz w:val="20"/>
          <w:szCs w:val="20"/>
          <w:lang w:eastAsia="ru-RU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733C7F">
        <w:rPr>
          <w:rFonts w:ascii="Arial" w:eastAsia="Times New Roman" w:hAnsi="Arial" w:cs="Arial"/>
          <w:sz w:val="20"/>
          <w:szCs w:val="20"/>
          <w:lang w:eastAsia="ru-RU"/>
        </w:rPr>
        <w:t xml:space="preserve"> или от имени организации.</w:t>
      </w:r>
      <w:r w:rsidR="00733C7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33C7F">
        <w:rPr>
          <w:rFonts w:ascii="Arial" w:eastAsia="Times New Roman" w:hAnsi="Arial" w:cs="Arial"/>
          <w:sz w:val="20"/>
          <w:szCs w:val="20"/>
          <w:lang w:eastAsia="ru-RU"/>
        </w:rPr>
        <w:t>Тем не менее, в Трудовом кодексе Российской Федерации (далее - ТК РФ) существует возможность привлечения работника организации к дисциплинарной ответственности.</w:t>
      </w:r>
    </w:p>
    <w:p w:rsidR="00C61A6A" w:rsidRPr="00733C7F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33C7F">
        <w:rPr>
          <w:rFonts w:ascii="Arial" w:eastAsia="Times New Roman" w:hAnsi="Arial" w:cs="Arial"/>
          <w:sz w:val="20"/>
          <w:szCs w:val="20"/>
          <w:lang w:eastAsia="ru-RU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 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733C7F">
        <w:rPr>
          <w:rFonts w:ascii="Arial" w:eastAsia="Times New Roman" w:hAnsi="Arial" w:cs="Arial"/>
          <w:sz w:val="20"/>
          <w:szCs w:val="20"/>
          <w:lang w:eastAsia="ru-RU"/>
        </w:rPr>
        <w:t xml:space="preserve"> связи с исполнением им трудовых обязанностей. 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III. Основные принципы противодействия коррупции в организации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1. Принцип соответствия политики организации действующему законодательству и общепринятым нормам.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Соответствие реализуемых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2. Принцип личного примера руководства.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3. Принцип вовлеченности </w:t>
      </w:r>
      <w:r w:rsid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</w:t>
      </w:r>
      <w:r w:rsidR="00893A91"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служащ</w:t>
      </w:r>
      <w:r w:rsid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их</w:t>
      </w:r>
      <w:r w:rsidRPr="00530F1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Информированность </w:t>
      </w:r>
      <w:r w:rsid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</w:t>
      </w:r>
      <w:r w:rsidR="00893A91"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служащ</w:t>
      </w:r>
      <w:r w:rsid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их</w:t>
      </w:r>
      <w:r w:rsidR="00893A91"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о положениях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антикоррупционного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стандартов и процедур.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4. Принцип соразмерности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процедур риску коррупции.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C61A6A" w:rsidRPr="00530F15" w:rsidRDefault="006F7808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C61A6A" w:rsidRPr="00530F15">
        <w:rPr>
          <w:rFonts w:ascii="Arial" w:eastAsia="Times New Roman" w:hAnsi="Arial" w:cs="Arial"/>
          <w:sz w:val="20"/>
          <w:szCs w:val="20"/>
          <w:lang w:eastAsia="ru-RU"/>
        </w:rPr>
        <w:t>. Принцип ответственности и неотвратимости наказания.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Неотвратимость наказания для </w:t>
      </w:r>
      <w:r w:rsid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</w:t>
      </w:r>
      <w:r w:rsidR="00893A91"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служащ</w:t>
      </w:r>
      <w:r w:rsid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их</w:t>
      </w:r>
      <w:r w:rsidR="00893A91"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политики.</w:t>
      </w:r>
    </w:p>
    <w:p w:rsidR="00C61A6A" w:rsidRPr="00530F15" w:rsidRDefault="006F7808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C61A6A" w:rsidRPr="00530F15">
        <w:rPr>
          <w:rFonts w:ascii="Arial" w:eastAsia="Times New Roman" w:hAnsi="Arial" w:cs="Arial"/>
          <w:sz w:val="20"/>
          <w:szCs w:val="20"/>
          <w:lang w:eastAsia="ru-RU"/>
        </w:rPr>
        <w:t>. Принцип постоянного контроля и регулярного мониторинга.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Регулярное осуществление мониторинга эффективности внедренных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стандартов и процедур, а также </w:t>
      </w:r>
      <w:proofErr w:type="gram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контроля за</w:t>
      </w:r>
      <w:proofErr w:type="gram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их исполнением.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IV. </w:t>
      </w:r>
      <w:proofErr w:type="spellStart"/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Антикоррупционная</w:t>
      </w:r>
      <w:proofErr w:type="spellEnd"/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политика организации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1. Общие подходы к разработке и реализации </w:t>
      </w:r>
      <w:proofErr w:type="spellStart"/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антикоррупционной</w:t>
      </w:r>
      <w:proofErr w:type="spellEnd"/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политики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Антикоррупционная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Сведения о реализуемой в организации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политике рекомендуется закрепить в едином документе с одноименным названием - «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Антикоррупционная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политика (наименование организации)».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Антикоррупционную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организации.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В разработке и реализации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 как документа следует выделить следующие этапы: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- разработка проекта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политики;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- обсуждение проекта и его утверждение;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- информирование работников о принятой в организации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политике;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- реализация предусмотренных политикой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мер;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- анализ применения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 и, при необходимости, ее пересмотр.</w:t>
      </w:r>
    </w:p>
    <w:p w:rsidR="00C61A6A" w:rsidRPr="00500F20" w:rsidRDefault="00C61A6A" w:rsidP="00C61A6A">
      <w:pPr>
        <w:shd w:val="clear" w:color="auto" w:fill="FFFFFF"/>
        <w:spacing w:after="231" w:line="245" w:lineRule="atLeast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00F2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Закрепление обязанностей </w:t>
      </w:r>
      <w:r w:rsidR="00500F20" w:rsidRPr="00500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</w:t>
      </w:r>
      <w:r w:rsidRPr="00500F2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и организации, связанных с предупреждением и противодействием коррупции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Обязанности </w:t>
      </w:r>
      <w:r w:rsidR="00500F2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</w:t>
      </w:r>
      <w:r w:rsidR="00500F20"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служащ</w:t>
      </w:r>
      <w:r w:rsidR="00500F2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их</w:t>
      </w:r>
      <w:r w:rsidR="00500F20"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30F15">
        <w:rPr>
          <w:rFonts w:ascii="Arial" w:eastAsia="Times New Roman" w:hAnsi="Arial" w:cs="Arial"/>
          <w:sz w:val="20"/>
          <w:szCs w:val="20"/>
          <w:lang w:eastAsia="ru-RU"/>
        </w:rPr>
        <w:t>в связи с предупреждением 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Примерами общих обязанностей </w:t>
      </w:r>
      <w:r w:rsidR="00500F2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</w:t>
      </w:r>
      <w:r w:rsidR="00500F20"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служащ</w:t>
      </w:r>
      <w:r w:rsidR="00500F2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их</w:t>
      </w: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предупреждением и противодействием коррупции могут быть следующие: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- незамедлительно информировать непосредственного руководителя/лицо, ответственное за реализацию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политики/руководство организации о случаях склонения </w:t>
      </w:r>
      <w:r w:rsidR="00500F2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</w:t>
      </w:r>
      <w:r w:rsidR="00500F20" w:rsidRPr="00893A9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служащ</w:t>
      </w:r>
      <w:r w:rsidR="00500F20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их</w:t>
      </w:r>
      <w:r w:rsidR="00500F20"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30F15">
        <w:rPr>
          <w:rFonts w:ascii="Arial" w:eastAsia="Times New Roman" w:hAnsi="Arial" w:cs="Arial"/>
          <w:sz w:val="20"/>
          <w:szCs w:val="20"/>
          <w:lang w:eastAsia="ru-RU"/>
        </w:rPr>
        <w:t>к совершению коррупционных правонарушений;</w:t>
      </w:r>
    </w:p>
    <w:p w:rsidR="00C61A6A" w:rsidRPr="007174BB" w:rsidRDefault="00C61A6A" w:rsidP="00C61A6A">
      <w:pPr>
        <w:shd w:val="clear" w:color="auto" w:fill="FFFFFF"/>
        <w:spacing w:after="231" w:line="245" w:lineRule="atLeast"/>
        <w:rPr>
          <w:rFonts w:ascii="Times New Roman" w:eastAsia="Times New Roman" w:hAnsi="Times New Roman" w:cs="Times New Roman"/>
          <w:lang w:eastAsia="ru-RU"/>
        </w:rPr>
      </w:pPr>
      <w:r w:rsidRPr="007174BB">
        <w:rPr>
          <w:rFonts w:ascii="Times New Roman" w:eastAsia="Times New Roman" w:hAnsi="Times New Roman" w:cs="Times New Roman"/>
          <w:lang w:eastAsia="ru-RU"/>
        </w:rPr>
        <w:t xml:space="preserve">- незамедлительно информировать непосредственного начальника/лицо, ответственное за реализацию </w:t>
      </w:r>
      <w:proofErr w:type="spellStart"/>
      <w:r w:rsidRPr="007174BB">
        <w:rPr>
          <w:rFonts w:ascii="Times New Roman" w:eastAsia="Times New Roman" w:hAnsi="Times New Roman" w:cs="Times New Roman"/>
          <w:lang w:eastAsia="ru-RU"/>
        </w:rPr>
        <w:t>антикоррупционной</w:t>
      </w:r>
      <w:proofErr w:type="spellEnd"/>
      <w:r w:rsidRPr="007174BB">
        <w:rPr>
          <w:rFonts w:ascii="Times New Roman" w:eastAsia="Times New Roman" w:hAnsi="Times New Roman" w:cs="Times New Roman"/>
          <w:lang w:eastAsia="ru-RU"/>
        </w:rPr>
        <w:t xml:space="preserve"> политики/руководство организации о ставшей известной </w:t>
      </w:r>
      <w:r w:rsidR="007174BB" w:rsidRPr="007174BB">
        <w:rPr>
          <w:rFonts w:ascii="Times New Roman" w:eastAsia="Times New Roman" w:hAnsi="Times New Roman" w:cs="Times New Roman"/>
          <w:bCs/>
          <w:lang w:eastAsia="ru-RU"/>
        </w:rPr>
        <w:t>муниципальному служащему</w:t>
      </w:r>
      <w:r w:rsidRPr="007174BB">
        <w:rPr>
          <w:rFonts w:ascii="Times New Roman" w:eastAsia="Times New Roman" w:hAnsi="Times New Roman" w:cs="Times New Roman"/>
          <w:lang w:eastAsia="ru-RU"/>
        </w:rPr>
        <w:t xml:space="preserve"> информации о случаях совершения коррупционных правонарушений другими </w:t>
      </w:r>
      <w:r w:rsidR="007174BB" w:rsidRPr="007174BB">
        <w:rPr>
          <w:rFonts w:ascii="Times New Roman" w:eastAsia="Times New Roman" w:hAnsi="Times New Roman" w:cs="Times New Roman"/>
          <w:bCs/>
          <w:lang w:eastAsia="ru-RU"/>
        </w:rPr>
        <w:t>муниципальными</w:t>
      </w:r>
      <w:r w:rsidR="00500F20" w:rsidRPr="007174BB">
        <w:rPr>
          <w:rFonts w:ascii="Times New Roman" w:eastAsia="Times New Roman" w:hAnsi="Times New Roman" w:cs="Times New Roman"/>
          <w:bCs/>
          <w:lang w:eastAsia="ru-RU"/>
        </w:rPr>
        <w:t xml:space="preserve"> служащи</w:t>
      </w:r>
      <w:r w:rsidR="007174BB" w:rsidRPr="007174BB">
        <w:rPr>
          <w:rFonts w:ascii="Times New Roman" w:eastAsia="Times New Roman" w:hAnsi="Times New Roman" w:cs="Times New Roman"/>
          <w:bCs/>
          <w:lang w:eastAsia="ru-RU"/>
        </w:rPr>
        <w:t>ми</w:t>
      </w:r>
      <w:r w:rsidRPr="007174BB">
        <w:rPr>
          <w:rFonts w:ascii="Times New Roman" w:eastAsia="Times New Roman" w:hAnsi="Times New Roman" w:cs="Times New Roman"/>
          <w:lang w:eastAsia="ru-RU"/>
        </w:rPr>
        <w:t>, контрагентами организации или иными лицами;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>- сообщить непосредственному начальнику или иному ответственному лицу о возможности</w:t>
      </w:r>
      <w:r w:rsidR="007174BB">
        <w:rPr>
          <w:rFonts w:ascii="Arial" w:eastAsia="Times New Roman" w:hAnsi="Arial" w:cs="Arial"/>
          <w:sz w:val="20"/>
          <w:szCs w:val="20"/>
          <w:lang w:eastAsia="ru-RU"/>
        </w:rPr>
        <w:t xml:space="preserve"> возникновения либо возникшем</w:t>
      </w:r>
      <w:r w:rsidR="007174BB"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30F15">
        <w:rPr>
          <w:rFonts w:ascii="Arial" w:eastAsia="Times New Roman" w:hAnsi="Arial" w:cs="Arial"/>
          <w:sz w:val="20"/>
          <w:szCs w:val="20"/>
          <w:lang w:eastAsia="ru-RU"/>
        </w:rPr>
        <w:t>конфликте интересов.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 xml:space="preserve">Установление перечня проводимых организацией </w:t>
      </w:r>
      <w:proofErr w:type="spellStart"/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антикоррупционных</w:t>
      </w:r>
      <w:proofErr w:type="spellEnd"/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мероприятий и порядок их выполнения (применения)</w:t>
      </w:r>
    </w:p>
    <w:p w:rsidR="00C61A6A" w:rsidRPr="00E00BC6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антикоррупционную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политику организации рекомендуется включить перечень конкретных мероприятий, которые организация планирует реализовать в целях предупреждения и противодействия коррупции. Набор таких мероприятий может варьироваться и зависит от конкретных потребностей и возможностей организации. Примерный перечень </w:t>
      </w:r>
      <w:proofErr w:type="spellStart"/>
      <w:r w:rsidRPr="00530F15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530F15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мероприятий, которые могут быть реализованы в организации, приведен в </w:t>
      </w:r>
      <w:hyperlink r:id="rId5" w:anchor="10" w:history="1">
        <w:r w:rsidRPr="00530F15">
          <w:rPr>
            <w:rFonts w:ascii="Arial" w:eastAsia="Times New Roman" w:hAnsi="Arial" w:cs="Arial"/>
            <w:sz w:val="20"/>
            <w:u w:val="single"/>
            <w:lang w:eastAsia="ru-RU"/>
          </w:rPr>
          <w:t>Таблице 1</w:t>
        </w:r>
      </w:hyperlink>
      <w:r w:rsidRPr="00E00BC6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.</w:t>
      </w:r>
    </w:p>
    <w:p w:rsidR="00C61A6A" w:rsidRPr="00530F15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Таблица 1 - Примерный перечень </w:t>
      </w:r>
      <w:proofErr w:type="spellStart"/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антикоррупционных</w:t>
      </w:r>
      <w:proofErr w:type="spellEnd"/>
      <w:r w:rsidRPr="00530F15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мероприятий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2"/>
        <w:gridCol w:w="6113"/>
      </w:tblGrid>
      <w:tr w:rsidR="00C61A6A" w:rsidRPr="00530F15" w:rsidTr="00C61A6A">
        <w:tc>
          <w:tcPr>
            <w:tcW w:w="0" w:type="auto"/>
            <w:hideMark/>
          </w:tcPr>
          <w:p w:rsidR="00C61A6A" w:rsidRPr="00530F15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hideMark/>
          </w:tcPr>
          <w:p w:rsidR="00C61A6A" w:rsidRPr="00530F15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F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C61A6A" w:rsidRPr="00E00BC6" w:rsidTr="00C61A6A">
        <w:tc>
          <w:tcPr>
            <w:tcW w:w="0" w:type="auto"/>
            <w:vMerge w:val="restart"/>
            <w:vAlign w:val="center"/>
            <w:hideMark/>
          </w:tcPr>
          <w:p w:rsidR="0023513C" w:rsidRPr="003268FE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  <w:p w:rsidR="00BE1614" w:rsidRPr="003268FE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3268FE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3268FE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кодекса этики и служебного поведения </w:t>
            </w:r>
            <w:r w:rsidR="007174BB" w:rsidRPr="00BE16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муниципальных служащих</w:t>
            </w: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C61A6A" w:rsidRPr="00E00BC6" w:rsidTr="00C61A6A">
        <w:tc>
          <w:tcPr>
            <w:tcW w:w="0" w:type="auto"/>
            <w:vMerge/>
            <w:vAlign w:val="center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C61A6A" w:rsidRPr="00E00BC6" w:rsidTr="00C61A6A">
        <w:tc>
          <w:tcPr>
            <w:tcW w:w="0" w:type="auto"/>
            <w:vMerge/>
            <w:vAlign w:val="center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C61A6A" w:rsidRPr="00E00BC6" w:rsidTr="00C61A6A">
        <w:tc>
          <w:tcPr>
            <w:tcW w:w="0" w:type="auto"/>
            <w:vMerge/>
            <w:vAlign w:val="center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A6A" w:rsidRPr="00E00BC6" w:rsidTr="00C61A6A">
        <w:tc>
          <w:tcPr>
            <w:tcW w:w="0" w:type="auto"/>
            <w:vMerge w:val="restart"/>
            <w:vAlign w:val="center"/>
            <w:hideMark/>
          </w:tcPr>
          <w:p w:rsidR="0023513C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</w:t>
            </w:r>
            <w:proofErr w:type="gramStart"/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513C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</w:t>
            </w:r>
            <w:r w:rsidR="00BE1614"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</w:t>
            </w:r>
            <w:r w:rsidR="007174BB" w:rsidRPr="00BE16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муниципальных служащих</w:t>
            </w:r>
            <w:r w:rsidR="007174BB"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C61A6A" w:rsidRPr="00E00BC6" w:rsidTr="00C61A6A">
        <w:tc>
          <w:tcPr>
            <w:tcW w:w="0" w:type="auto"/>
            <w:vMerge/>
            <w:vAlign w:val="center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3513C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работодателя о ставшей известной 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C61A6A" w:rsidRPr="00E00BC6" w:rsidTr="00C61A6A">
        <w:tc>
          <w:tcPr>
            <w:tcW w:w="0" w:type="auto"/>
            <w:vMerge/>
            <w:vAlign w:val="center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</w:t>
            </w:r>
            <w:r w:rsidR="004E109E" w:rsidRPr="00BE16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муниципальными служащими </w:t>
            </w: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о возникновении конфликта интересов и порядка урегулирования выявленного конфликта интересов</w:t>
            </w:r>
          </w:p>
          <w:p w:rsidR="0023513C" w:rsidRPr="00BE1614" w:rsidRDefault="0023513C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513C" w:rsidRPr="00BE1614" w:rsidRDefault="0023513C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A6A" w:rsidRPr="00E00BC6" w:rsidTr="00C61A6A">
        <w:tc>
          <w:tcPr>
            <w:tcW w:w="0" w:type="auto"/>
            <w:vMerge/>
            <w:vAlign w:val="center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C61A6A" w:rsidRPr="00E00BC6" w:rsidTr="00C61A6A">
        <w:tc>
          <w:tcPr>
            <w:tcW w:w="0" w:type="auto"/>
            <w:vMerge/>
            <w:vAlign w:val="center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</w:t>
            </w:r>
            <w:r w:rsidR="00FB1511" w:rsidRPr="00BE161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муниципальных служащих</w:t>
            </w: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применения (соблюдения) </w:t>
            </w:r>
            <w:proofErr w:type="spellStart"/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и процедур</w:t>
            </w:r>
          </w:p>
          <w:p w:rsidR="00BE1614" w:rsidRPr="00BE1614" w:rsidRDefault="00BE1614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A6A" w:rsidRPr="00E00BC6" w:rsidTr="00C61A6A">
        <w:tc>
          <w:tcPr>
            <w:tcW w:w="0" w:type="auto"/>
            <w:vMerge w:val="restart"/>
            <w:vAlign w:val="center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 распространение отчетных материалов</w:t>
            </w: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C61A6A" w:rsidRPr="00E00BC6" w:rsidTr="00C61A6A">
        <w:tc>
          <w:tcPr>
            <w:tcW w:w="0" w:type="auto"/>
            <w:vMerge/>
            <w:vAlign w:val="center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A6A" w:rsidRPr="00BE1614" w:rsidRDefault="00C61A6A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  <w:p w:rsidR="003A75A7" w:rsidRPr="00BE1614" w:rsidRDefault="003A75A7" w:rsidP="00C6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A6A" w:rsidRPr="003A75A7" w:rsidRDefault="00C61A6A" w:rsidP="004E109E">
      <w:pPr>
        <w:shd w:val="clear" w:color="auto" w:fill="FFFFFF"/>
        <w:spacing w:after="231" w:line="245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В качестве составной части или приложения к </w:t>
      </w:r>
      <w:proofErr w:type="spellStart"/>
      <w:r w:rsidRPr="003A75A7">
        <w:rPr>
          <w:rFonts w:ascii="Arial" w:eastAsia="Times New Roman" w:hAnsi="Arial" w:cs="Arial"/>
          <w:sz w:val="20"/>
          <w:szCs w:val="20"/>
          <w:lang w:eastAsia="ru-RU"/>
        </w:rPr>
        <w:t>антико</w:t>
      </w:r>
      <w:r w:rsidR="00FB1511">
        <w:rPr>
          <w:rFonts w:ascii="Arial" w:eastAsia="Times New Roman" w:hAnsi="Arial" w:cs="Arial"/>
          <w:sz w:val="20"/>
          <w:szCs w:val="20"/>
          <w:lang w:eastAsia="ru-RU"/>
        </w:rPr>
        <w:t>ррупционной</w:t>
      </w:r>
      <w:proofErr w:type="spellEnd"/>
      <w:r w:rsidR="00FB1511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политике </w:t>
      </w:r>
      <w:proofErr w:type="spellStart"/>
      <w:r w:rsidR="00FB1511">
        <w:rPr>
          <w:rFonts w:ascii="Arial" w:eastAsia="Times New Roman" w:hAnsi="Arial" w:cs="Arial"/>
          <w:sz w:val="20"/>
          <w:szCs w:val="20"/>
          <w:lang w:eastAsia="ru-RU"/>
        </w:rPr>
        <w:t>утверждаеться</w:t>
      </w:r>
      <w:proofErr w:type="spellEnd"/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 план реализации </w:t>
      </w:r>
      <w:proofErr w:type="spellStart"/>
      <w:r w:rsidRPr="003A75A7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 мероприятий. При составлении такого плана рекомендуется для каждого мероприятия указать сроки его проведения и ответственного исполнителя.</w:t>
      </w:r>
    </w:p>
    <w:p w:rsidR="00C61A6A" w:rsidRPr="003A75A7" w:rsidRDefault="003A75A7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3A75A7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2</w:t>
      </w:r>
      <w:r w:rsidR="00C61A6A" w:rsidRPr="003A75A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 Выявление и урегулирование конфликта интересов</w:t>
      </w:r>
    </w:p>
    <w:p w:rsidR="00C61A6A" w:rsidRPr="00E00BC6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Своевременное выявление конфликта интересов в деятельности </w:t>
      </w:r>
      <w:r w:rsidR="004E109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муниципальных служащих </w:t>
      </w:r>
      <w:r w:rsidRPr="003A75A7">
        <w:rPr>
          <w:rFonts w:ascii="Arial" w:eastAsia="Times New Roman" w:hAnsi="Arial" w:cs="Arial"/>
          <w:sz w:val="20"/>
          <w:szCs w:val="20"/>
          <w:lang w:eastAsia="ru-RU"/>
        </w:rPr>
        <w:t>является одним из ключевых элементов предотвращения коррупционных правонарушений.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организации рекомендуется принять положение о конфликте интересов.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</w:t>
      </w:r>
      <w:r w:rsidR="00FB15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муниципальных служащих </w:t>
      </w:r>
      <w:r w:rsidRPr="003A75A7">
        <w:rPr>
          <w:rFonts w:ascii="Arial" w:eastAsia="Times New Roman" w:hAnsi="Arial" w:cs="Arial"/>
          <w:sz w:val="20"/>
          <w:szCs w:val="20"/>
          <w:lang w:eastAsia="ru-RU"/>
        </w:rPr>
        <w:t>в ходе выполнения ими трудовых обязанностей. При разработке положения о конфликте интересов рекомендуется обратить внимание на включение в него следующих аспектов: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цели и задачи положения о конфликте интересов;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используемые в положении понятия и определения;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круг лиц, попадающих под действие положения;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основные принципы управления конфликтом интересов в организации;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- порядок раскрытия конфликта интересов </w:t>
      </w:r>
      <w:r w:rsidR="00FB15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муниципальных служащих </w:t>
      </w:r>
      <w:r w:rsidRPr="003A75A7">
        <w:rPr>
          <w:rFonts w:ascii="Arial" w:eastAsia="Times New Roman" w:hAnsi="Arial" w:cs="Arial"/>
          <w:sz w:val="20"/>
          <w:szCs w:val="20"/>
          <w:lang w:eastAsia="ru-RU"/>
        </w:rPr>
        <w:t>и порядок его урегулирования, в том числе возможные способы разрешения возникшего конфликта интересов;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- обязанности </w:t>
      </w:r>
      <w:r w:rsidR="00FB15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муниципальных служащих </w:t>
      </w:r>
      <w:r w:rsidRPr="003A75A7">
        <w:rPr>
          <w:rFonts w:ascii="Arial" w:eastAsia="Times New Roman" w:hAnsi="Arial" w:cs="Arial"/>
          <w:sz w:val="20"/>
          <w:szCs w:val="20"/>
          <w:lang w:eastAsia="ru-RU"/>
        </w:rPr>
        <w:t>в связи с раскрытием и урегулированием конфликта интересов;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определение лиц, ответственных за прием сведений о возникшем конфликте интересов и рассмотрение этих сведений;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- ответственность </w:t>
      </w:r>
      <w:r w:rsidR="00FB151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 за несоблюдение положения о конфликте интересов.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3A75A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Основные принципы управления конфликтом интересов в организации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В основу работы по управлению конфликтом интересов в организации могут быть положены следующие принципы: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- индивидуальное рассмотрение и оценка </w:t>
      </w:r>
      <w:proofErr w:type="spellStart"/>
      <w:r w:rsidRPr="003A75A7">
        <w:rPr>
          <w:rFonts w:ascii="Arial" w:eastAsia="Times New Roman" w:hAnsi="Arial" w:cs="Arial"/>
          <w:sz w:val="20"/>
          <w:szCs w:val="20"/>
          <w:lang w:eastAsia="ru-RU"/>
        </w:rPr>
        <w:t>репутационных</w:t>
      </w:r>
      <w:proofErr w:type="spellEnd"/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- соблюдение баланса интересов организации и </w:t>
      </w:r>
      <w:r w:rsidR="009D120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 при урегулировании конфликта интересов;</w:t>
      </w:r>
    </w:p>
    <w:p w:rsidR="00C61A6A" w:rsidRPr="00E00BC6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- защита </w:t>
      </w:r>
      <w:r w:rsidR="009D120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C61A6A" w:rsidRPr="003A75A7" w:rsidRDefault="003A75A7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Обязанности муниципального служащего</w:t>
      </w:r>
      <w:r w:rsidR="00C61A6A" w:rsidRPr="003A75A7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в связи с раскрытием и урегулированием конфликта интересов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В положении о конфликте интересов целесообразно закрепить обязанности </w:t>
      </w:r>
      <w:r w:rsidR="009D120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Pr="003A75A7">
        <w:rPr>
          <w:rFonts w:ascii="Arial" w:eastAsia="Times New Roman" w:hAnsi="Arial" w:cs="Arial"/>
          <w:sz w:val="20"/>
          <w:szCs w:val="20"/>
          <w:lang w:eastAsia="ru-RU"/>
        </w:rPr>
        <w:t xml:space="preserve"> в связи с раскрытием и урегулированием конфликта интересов, например, следующие: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раскрывать возникший (реальный) или потенциальный </w:t>
      </w:r>
      <w:hyperlink r:id="rId6" w:anchor="1027" w:history="1">
        <w:r w:rsidRPr="003A75A7">
          <w:rPr>
            <w:rFonts w:ascii="Arial" w:eastAsia="Times New Roman" w:hAnsi="Arial" w:cs="Arial"/>
            <w:sz w:val="20"/>
            <w:u w:val="single"/>
            <w:lang w:eastAsia="ru-RU"/>
          </w:rPr>
          <w:t>конфликт интересов</w:t>
        </w:r>
      </w:hyperlink>
      <w:r w:rsidRPr="003A75A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61A6A" w:rsidRPr="003A75A7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A75A7">
        <w:rPr>
          <w:rFonts w:ascii="Arial" w:eastAsia="Times New Roman" w:hAnsi="Arial" w:cs="Arial"/>
          <w:sz w:val="20"/>
          <w:szCs w:val="20"/>
          <w:lang w:eastAsia="ru-RU"/>
        </w:rPr>
        <w:t>- содействовать урегулированию возникшего конфликта интересов.</w:t>
      </w:r>
    </w:p>
    <w:p w:rsidR="00C61A6A" w:rsidRPr="005E7955" w:rsidRDefault="00C61A6A" w:rsidP="00C61A6A">
      <w:pPr>
        <w:shd w:val="clear" w:color="auto" w:fill="FFFFFF"/>
        <w:spacing w:after="231" w:line="245" w:lineRule="atLeast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5E79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Порядок раскрытия конфликта интересов </w:t>
      </w:r>
      <w:r w:rsidR="009D120B" w:rsidRPr="005E79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муниципальных служащих</w:t>
      </w:r>
      <w:r w:rsidR="00BE1614" w:rsidRPr="005E79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Pr="005E795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и порядок его урегулирования, в том числе возможные способы разрешения возникшего конфликта интересов</w:t>
      </w:r>
    </w:p>
    <w:p w:rsidR="00C61A6A" w:rsidRPr="009D120B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D120B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Организации следует установить процедуру раскрытия конфликта интересов, утвердить ее локальным нормативным актом и довести до сведения всех </w:t>
      </w:r>
      <w:r w:rsidR="009D120B" w:rsidRPr="009D120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Pr="009D120B">
        <w:rPr>
          <w:rFonts w:ascii="Arial" w:eastAsia="Times New Roman" w:hAnsi="Arial" w:cs="Arial"/>
          <w:sz w:val="20"/>
          <w:szCs w:val="20"/>
          <w:lang w:eastAsia="ru-RU"/>
        </w:rPr>
        <w:t>. В организации возможно установление различных видов раскрытия конфликта интересов, в том числе:</w:t>
      </w:r>
    </w:p>
    <w:p w:rsidR="00C61A6A" w:rsidRPr="009D120B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D120B">
        <w:rPr>
          <w:rFonts w:ascii="Arial" w:eastAsia="Times New Roman" w:hAnsi="Arial" w:cs="Arial"/>
          <w:sz w:val="20"/>
          <w:szCs w:val="20"/>
          <w:lang w:eastAsia="ru-RU"/>
        </w:rPr>
        <w:t>- раскрытие сведений о конфликте интересов при приеме на работу;</w:t>
      </w:r>
    </w:p>
    <w:p w:rsidR="00C61A6A" w:rsidRPr="009D120B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D120B">
        <w:rPr>
          <w:rFonts w:ascii="Arial" w:eastAsia="Times New Roman" w:hAnsi="Arial" w:cs="Arial"/>
          <w:sz w:val="20"/>
          <w:szCs w:val="20"/>
          <w:lang w:eastAsia="ru-RU"/>
        </w:rPr>
        <w:t>- раскрытие сведений о конфликте интересов при назначении на новую должность;</w:t>
      </w:r>
    </w:p>
    <w:p w:rsidR="00C61A6A" w:rsidRPr="009D120B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D120B">
        <w:rPr>
          <w:rFonts w:ascii="Arial" w:eastAsia="Times New Roman" w:hAnsi="Arial" w:cs="Arial"/>
          <w:sz w:val="20"/>
          <w:szCs w:val="20"/>
          <w:lang w:eastAsia="ru-RU"/>
        </w:rPr>
        <w:t>- разовое раскрытие сведений по мере возникновения ситуаций конфликта интересов;</w:t>
      </w:r>
    </w:p>
    <w:p w:rsidR="00C61A6A" w:rsidRPr="009D120B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D120B">
        <w:rPr>
          <w:rFonts w:ascii="Arial" w:eastAsia="Times New Roman" w:hAnsi="Arial" w:cs="Arial"/>
          <w:sz w:val="20"/>
          <w:szCs w:val="20"/>
          <w:lang w:eastAsia="ru-RU"/>
        </w:rPr>
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C61A6A" w:rsidRPr="009D120B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D120B">
        <w:rPr>
          <w:rFonts w:ascii="Arial" w:eastAsia="Times New Roman" w:hAnsi="Arial" w:cs="Arial"/>
          <w:sz w:val="20"/>
          <w:szCs w:val="20"/>
          <w:lang w:eastAsia="ru-RU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61A6A" w:rsidRPr="00591D13" w:rsidRDefault="00C61A6A" w:rsidP="00C61A6A">
      <w:pPr>
        <w:shd w:val="clear" w:color="auto" w:fill="FFFFFF"/>
        <w:spacing w:after="231" w:line="24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C61A6A" w:rsidRPr="009D120B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9D120B">
        <w:rPr>
          <w:rFonts w:ascii="Arial" w:eastAsia="Times New Roman" w:hAnsi="Arial" w:cs="Arial"/>
          <w:sz w:val="20"/>
          <w:szCs w:val="20"/>
          <w:lang w:eastAsia="ru-RU"/>
        </w:rPr>
        <w:t xml:space="preserve">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</w:t>
      </w:r>
      <w:proofErr w:type="spellStart"/>
      <w:r w:rsidRPr="009D120B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9D120B">
        <w:rPr>
          <w:rFonts w:ascii="Arial" w:eastAsia="Times New Roman" w:hAnsi="Arial" w:cs="Arial"/>
          <w:sz w:val="20"/>
          <w:szCs w:val="20"/>
          <w:lang w:eastAsia="ru-RU"/>
        </w:rPr>
        <w:t xml:space="preserve"> политики. Таким лицом может быть непосредственный начальник работника, сотрудник кадровой службы, лицо, ответственное за противодействие коррупции. Рассмотрение полученной информации целесообразно проводить коллегиально: в обсуждении могут принять участие упомянутые выше лица, представитель юридического подразделения, руководитель более высокого звена и т.д.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BE1614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5. </w:t>
      </w:r>
      <w:r w:rsidRPr="0059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Внедрение стандартов поведения</w:t>
      </w:r>
      <w:r w:rsidRPr="00591D1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9D120B" w:rsidRPr="00591D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Важным элементом работы по предупреждению коррупции является внедрение </w:t>
      </w:r>
      <w:proofErr w:type="spellStart"/>
      <w:r w:rsidRPr="00BE1614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стандартов поведения </w:t>
      </w:r>
      <w:r w:rsidR="00BE1614" w:rsidRPr="00BE161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="00BE1614"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в корпоративную культуру организации. В этих целях организации рекомендуется разработать и принять кодекс этики и служебного поведения </w:t>
      </w:r>
      <w:r w:rsidR="00BE1614" w:rsidRPr="00BE161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. При этом следует иметь в виду, что такой 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Как </w:t>
      </w:r>
      <w:proofErr w:type="gramStart"/>
      <w:r w:rsidRPr="00BE1614">
        <w:rPr>
          <w:rFonts w:ascii="Arial" w:eastAsia="Times New Roman" w:hAnsi="Arial" w:cs="Arial"/>
          <w:sz w:val="20"/>
          <w:szCs w:val="20"/>
          <w:lang w:eastAsia="ru-RU"/>
        </w:rPr>
        <w:t>правило</w:t>
      </w:r>
      <w:proofErr w:type="gramEnd"/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 кодекс устанавливает ряд правил и стандартов поведения </w:t>
      </w:r>
      <w:r w:rsidR="00BE1614" w:rsidRPr="00BE161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, затрагивающих </w:t>
      </w:r>
      <w:r w:rsidRPr="00BE161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общую этику деловых отношений и направленных на формирование этичного, добросовестного поведения </w:t>
      </w:r>
      <w:r w:rsidR="00BE1614" w:rsidRPr="00BE161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 и организации в целом.</w:t>
      </w:r>
    </w:p>
    <w:p w:rsidR="00C61A6A" w:rsidRPr="00777C67" w:rsidRDefault="00C61A6A" w:rsidP="00C61A6A">
      <w:pPr>
        <w:shd w:val="clear" w:color="auto" w:fill="FFFFFF"/>
        <w:spacing w:after="231" w:line="245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7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Консультирование и обучение</w:t>
      </w:r>
      <w:r w:rsidRPr="00777C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BE1614" w:rsidRPr="0077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</w:t>
      </w:r>
      <w:r w:rsidR="00BE1614" w:rsidRPr="00777C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При организации </w:t>
      </w:r>
      <w:proofErr w:type="gramStart"/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обучения </w:t>
      </w:r>
      <w:r w:rsidR="00BE1614" w:rsidRPr="00BE161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муниципальных служащих</w:t>
      </w:r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 по вопросам</w:t>
      </w:r>
      <w:proofErr w:type="gramEnd"/>
      <w:r w:rsidRPr="00BE1614">
        <w:rPr>
          <w:rFonts w:ascii="Arial" w:eastAsia="Times New Roman" w:hAnsi="Arial" w:cs="Arial"/>
          <w:sz w:val="20"/>
          <w:szCs w:val="20"/>
          <w:lang w:eastAsia="ru-RU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614">
        <w:rPr>
          <w:rFonts w:ascii="Arial" w:eastAsia="Times New Roman" w:hAnsi="Arial" w:cs="Arial"/>
          <w:sz w:val="20"/>
          <w:szCs w:val="20"/>
          <w:lang w:eastAsia="ru-RU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614">
        <w:rPr>
          <w:rFonts w:ascii="Arial" w:eastAsia="Times New Roman" w:hAnsi="Arial" w:cs="Arial"/>
          <w:sz w:val="20"/>
          <w:szCs w:val="20"/>
          <w:lang w:eastAsia="ru-RU"/>
        </w:rPr>
        <w:t>- юридическая ответственность за совершение коррупционных правонарушений;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614">
        <w:rPr>
          <w:rFonts w:ascii="Arial" w:eastAsia="Times New Roman" w:hAnsi="Arial" w:cs="Arial"/>
          <w:sz w:val="20"/>
          <w:szCs w:val="20"/>
          <w:lang w:eastAsia="ru-RU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614">
        <w:rPr>
          <w:rFonts w:ascii="Arial" w:eastAsia="Times New Roman" w:hAnsi="Arial" w:cs="Arial"/>
          <w:sz w:val="20"/>
          <w:szCs w:val="20"/>
          <w:lang w:eastAsia="ru-RU"/>
        </w:rPr>
        <w:t>- выявление и разрешение конфликта интересов при выполнении трудовых обязанностей (</w:t>
      </w:r>
      <w:proofErr w:type="gramStart"/>
      <w:r w:rsidRPr="00BE1614">
        <w:rPr>
          <w:rFonts w:ascii="Arial" w:eastAsia="Times New Roman" w:hAnsi="Arial" w:cs="Arial"/>
          <w:sz w:val="20"/>
          <w:szCs w:val="20"/>
          <w:lang w:eastAsia="ru-RU"/>
        </w:rPr>
        <w:t>прикладная</w:t>
      </w:r>
      <w:proofErr w:type="gramEnd"/>
      <w:r w:rsidRPr="00BE1614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614">
        <w:rPr>
          <w:rFonts w:ascii="Arial" w:eastAsia="Times New Roman" w:hAnsi="Arial" w:cs="Arial"/>
          <w:sz w:val="20"/>
          <w:szCs w:val="20"/>
          <w:lang w:eastAsia="ru-RU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614">
        <w:rPr>
          <w:rFonts w:ascii="Arial" w:eastAsia="Times New Roman" w:hAnsi="Arial" w:cs="Arial"/>
          <w:sz w:val="20"/>
          <w:szCs w:val="20"/>
          <w:lang w:eastAsia="ru-RU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BE1614">
        <w:rPr>
          <w:rFonts w:ascii="Arial" w:eastAsia="Times New Roman" w:hAnsi="Arial" w:cs="Arial"/>
          <w:sz w:val="20"/>
          <w:szCs w:val="20"/>
          <w:lang w:eastAsia="ru-RU"/>
        </w:rPr>
        <w:t>прикладная</w:t>
      </w:r>
      <w:proofErr w:type="gramEnd"/>
      <w:r w:rsidRPr="00BE1614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C61A6A" w:rsidRPr="00BE1614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BE1614">
        <w:rPr>
          <w:rFonts w:ascii="Arial" w:eastAsia="Times New Roman" w:hAnsi="Arial" w:cs="Arial"/>
          <w:sz w:val="20"/>
          <w:szCs w:val="20"/>
          <w:lang w:eastAsia="ru-RU"/>
        </w:rPr>
        <w:t>Консультирование по вопросам противодействия коррупции обычно осуществляется в индивидуальном порядке. В этом случае целесообразно определить лиц организации, ответственных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C61A6A" w:rsidRPr="003268FE" w:rsidRDefault="005E5DB0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7</w:t>
      </w:r>
      <w:r w:rsidR="00C61A6A" w:rsidRPr="003268F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 Сотрудничество с правоохранительными органами в сфере противодействия коррупции</w:t>
      </w:r>
    </w:p>
    <w:p w:rsidR="00C61A6A" w:rsidRPr="003268FE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3268FE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3268FE">
        <w:rPr>
          <w:rFonts w:ascii="Arial" w:eastAsia="Times New Roman" w:hAnsi="Arial" w:cs="Arial"/>
          <w:sz w:val="20"/>
          <w:szCs w:val="20"/>
          <w:lang w:eastAsia="ru-RU"/>
        </w:rPr>
        <w:t>организации</w:t>
      </w:r>
      <w:proofErr w:type="gramEnd"/>
      <w:r w:rsidRPr="003268FE">
        <w:rPr>
          <w:rFonts w:ascii="Arial" w:eastAsia="Times New Roman" w:hAnsi="Arial" w:cs="Arial"/>
          <w:sz w:val="20"/>
          <w:szCs w:val="20"/>
          <w:lang w:eastAsia="ru-RU"/>
        </w:rPr>
        <w:t xml:space="preserve"> декларируемым </w:t>
      </w:r>
      <w:proofErr w:type="spellStart"/>
      <w:r w:rsidRPr="003268FE">
        <w:rPr>
          <w:rFonts w:ascii="Arial" w:eastAsia="Times New Roman" w:hAnsi="Arial" w:cs="Arial"/>
          <w:sz w:val="20"/>
          <w:szCs w:val="20"/>
          <w:lang w:eastAsia="ru-RU"/>
        </w:rPr>
        <w:t>антикоррупционным</w:t>
      </w:r>
      <w:proofErr w:type="spellEnd"/>
      <w:r w:rsidRPr="003268FE">
        <w:rPr>
          <w:rFonts w:ascii="Arial" w:eastAsia="Times New Roman" w:hAnsi="Arial" w:cs="Arial"/>
          <w:sz w:val="20"/>
          <w:szCs w:val="20"/>
          <w:lang w:eastAsia="ru-RU"/>
        </w:rPr>
        <w:t xml:space="preserve"> стандартам поведения. Данное сотрудничество может осуществляться в различных формах.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данной организации.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>Сотрудничество с правоохранительными органами также может проявляться в форме: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>Руководству организац</w:t>
      </w:r>
      <w:proofErr w:type="gramStart"/>
      <w:r w:rsidRPr="005D56E8">
        <w:rPr>
          <w:rFonts w:ascii="Arial" w:eastAsia="Times New Roman" w:hAnsi="Arial" w:cs="Arial"/>
          <w:sz w:val="20"/>
          <w:szCs w:val="20"/>
          <w:lang w:eastAsia="ru-RU"/>
        </w:rPr>
        <w:t>ии и ее</w:t>
      </w:r>
      <w:proofErr w:type="gramEnd"/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</w:t>
      </w:r>
      <w:r w:rsidRPr="005D56E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C61A6A" w:rsidRPr="005D56E8" w:rsidRDefault="00777C67" w:rsidP="00C61A6A">
      <w:pPr>
        <w:shd w:val="clear" w:color="auto" w:fill="FFFFFF"/>
        <w:spacing w:after="231" w:line="245" w:lineRule="atLeast"/>
        <w:outlineLvl w:val="2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8</w:t>
      </w:r>
      <w:r w:rsidR="00C61A6A" w:rsidRPr="005D56E8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 Участие в коллективных инициативах по противодействию коррупции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Организации могут не только реализовывать меры по предупреждению и противодействию коррупции самостоятельно, но и принимать участие в коллективных </w:t>
      </w:r>
      <w:proofErr w:type="spellStart"/>
      <w:r w:rsidRPr="005D56E8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 инициативах.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В качестве совместных действий </w:t>
      </w:r>
      <w:proofErr w:type="spellStart"/>
      <w:r w:rsidRPr="005D56E8">
        <w:rPr>
          <w:rFonts w:ascii="Arial" w:eastAsia="Times New Roman" w:hAnsi="Arial" w:cs="Arial"/>
          <w:sz w:val="20"/>
          <w:szCs w:val="20"/>
          <w:lang w:eastAsia="ru-RU"/>
        </w:rPr>
        <w:t>антикоррупционной</w:t>
      </w:r>
      <w:proofErr w:type="spellEnd"/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 направленности рекомендуется участие в следующих мероприятиях: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- использование в совместных договорах стандартных </w:t>
      </w:r>
      <w:proofErr w:type="spellStart"/>
      <w:r w:rsidRPr="005D56E8">
        <w:rPr>
          <w:rFonts w:ascii="Arial" w:eastAsia="Times New Roman" w:hAnsi="Arial" w:cs="Arial"/>
          <w:sz w:val="20"/>
          <w:szCs w:val="20"/>
          <w:lang w:eastAsia="ru-RU"/>
        </w:rPr>
        <w:t>антикоррупционных</w:t>
      </w:r>
      <w:proofErr w:type="spellEnd"/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 оговорок;</w:t>
      </w:r>
    </w:p>
    <w:p w:rsidR="00C61A6A" w:rsidRPr="005D56E8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- организация и проведение совместного </w:t>
      </w:r>
      <w:proofErr w:type="gramStart"/>
      <w:r w:rsidRPr="005D56E8">
        <w:rPr>
          <w:rFonts w:ascii="Arial" w:eastAsia="Times New Roman" w:hAnsi="Arial" w:cs="Arial"/>
          <w:sz w:val="20"/>
          <w:szCs w:val="20"/>
          <w:lang w:eastAsia="ru-RU"/>
        </w:rPr>
        <w:t>обучения по вопросам</w:t>
      </w:r>
      <w:proofErr w:type="gramEnd"/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 профилактики и противодействия коррупции.</w:t>
      </w:r>
    </w:p>
    <w:p w:rsidR="00C61A6A" w:rsidRDefault="00C61A6A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D56E8">
        <w:rPr>
          <w:rFonts w:ascii="Arial" w:eastAsia="Times New Roman" w:hAnsi="Arial" w:cs="Arial"/>
          <w:sz w:val="20"/>
          <w:szCs w:val="20"/>
          <w:lang w:eastAsia="ru-RU"/>
        </w:rPr>
        <w:t xml:space="preserve">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 опубликовано в справочных правовых системах Консультант Плюс и ГАРАНТ, а также на официальном сайте Минтруда России по адресу: </w:t>
      </w:r>
      <w:hyperlink r:id="rId7" w:history="1">
        <w:r w:rsidR="005E7955" w:rsidRPr="00BF53E9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http://www.rosmintrud.ru/ministry/programms/gossluzhba/antikorr/1</w:t>
        </w:r>
      </w:hyperlink>
      <w:r w:rsidRPr="005D56E8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</w:p>
    <w:p w:rsidR="005E7955" w:rsidRDefault="005E7955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955" w:rsidRDefault="005E7955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7C67" w:rsidRDefault="00777C67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7C67" w:rsidRDefault="00777C67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7C67" w:rsidRDefault="00777C67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7C67" w:rsidRDefault="00777C67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7C67" w:rsidRDefault="00777C67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7C67" w:rsidRDefault="00777C67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7955" w:rsidRDefault="005E7955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46EE" w:rsidRDefault="002846EE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0A77" w:rsidRPr="00E36246" w:rsidRDefault="000E0A77" w:rsidP="00C61A6A">
      <w:pPr>
        <w:shd w:val="clear" w:color="auto" w:fill="FFFFFF"/>
        <w:spacing w:after="231" w:line="245" w:lineRule="atLeast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2CA8" w:rsidRPr="00E00BC6" w:rsidRDefault="00952CA8">
      <w:pPr>
        <w:rPr>
          <w:color w:val="FF0000"/>
        </w:rPr>
      </w:pPr>
    </w:p>
    <w:sectPr w:rsidR="00952CA8" w:rsidRPr="00E00BC6" w:rsidSect="0095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A6A"/>
    <w:rsid w:val="000444D3"/>
    <w:rsid w:val="0005319A"/>
    <w:rsid w:val="000D71C6"/>
    <w:rsid w:val="000E0A77"/>
    <w:rsid w:val="00100ADC"/>
    <w:rsid w:val="001033E1"/>
    <w:rsid w:val="00163A42"/>
    <w:rsid w:val="001877FC"/>
    <w:rsid w:val="001A0511"/>
    <w:rsid w:val="001D073C"/>
    <w:rsid w:val="0023513C"/>
    <w:rsid w:val="002846EE"/>
    <w:rsid w:val="002A6483"/>
    <w:rsid w:val="003268FE"/>
    <w:rsid w:val="00333025"/>
    <w:rsid w:val="00370FA7"/>
    <w:rsid w:val="003814FF"/>
    <w:rsid w:val="003A75A7"/>
    <w:rsid w:val="003D3B38"/>
    <w:rsid w:val="00407CAB"/>
    <w:rsid w:val="004E109E"/>
    <w:rsid w:val="004F7D85"/>
    <w:rsid w:val="00500F20"/>
    <w:rsid w:val="00530F15"/>
    <w:rsid w:val="00551A7C"/>
    <w:rsid w:val="00591D13"/>
    <w:rsid w:val="005B5291"/>
    <w:rsid w:val="005D56E8"/>
    <w:rsid w:val="005E5DB0"/>
    <w:rsid w:val="005E7955"/>
    <w:rsid w:val="00642FC9"/>
    <w:rsid w:val="00665E46"/>
    <w:rsid w:val="006A0E0C"/>
    <w:rsid w:val="006A590D"/>
    <w:rsid w:val="006F7808"/>
    <w:rsid w:val="007174BB"/>
    <w:rsid w:val="00733C7F"/>
    <w:rsid w:val="00777C67"/>
    <w:rsid w:val="00867227"/>
    <w:rsid w:val="00893A91"/>
    <w:rsid w:val="00905AC2"/>
    <w:rsid w:val="00952CA8"/>
    <w:rsid w:val="009758A2"/>
    <w:rsid w:val="009B0CB0"/>
    <w:rsid w:val="009D120B"/>
    <w:rsid w:val="00A34DEF"/>
    <w:rsid w:val="00AB0512"/>
    <w:rsid w:val="00B47FD9"/>
    <w:rsid w:val="00BE1614"/>
    <w:rsid w:val="00BF72A0"/>
    <w:rsid w:val="00C61A6A"/>
    <w:rsid w:val="00C81EDE"/>
    <w:rsid w:val="00CF16E6"/>
    <w:rsid w:val="00CF4739"/>
    <w:rsid w:val="00D351C7"/>
    <w:rsid w:val="00D77A14"/>
    <w:rsid w:val="00DA7AF4"/>
    <w:rsid w:val="00DB1198"/>
    <w:rsid w:val="00E00BC6"/>
    <w:rsid w:val="00E1059D"/>
    <w:rsid w:val="00E25C4E"/>
    <w:rsid w:val="00E36246"/>
    <w:rsid w:val="00E52377"/>
    <w:rsid w:val="00EC18DD"/>
    <w:rsid w:val="00EC373E"/>
    <w:rsid w:val="00ED7560"/>
    <w:rsid w:val="00F1750F"/>
    <w:rsid w:val="00F56C46"/>
    <w:rsid w:val="00FB1511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A8"/>
  </w:style>
  <w:style w:type="paragraph" w:styleId="2">
    <w:name w:val="heading 2"/>
    <w:basedOn w:val="a"/>
    <w:link w:val="20"/>
    <w:uiPriority w:val="9"/>
    <w:qFormat/>
    <w:rsid w:val="00C61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1A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A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A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61A6A"/>
    <w:rPr>
      <w:color w:val="800080"/>
      <w:u w:val="single"/>
    </w:rPr>
  </w:style>
  <w:style w:type="paragraph" w:customStyle="1" w:styleId="toleft">
    <w:name w:val="toleft"/>
    <w:basedOn w:val="a"/>
    <w:rsid w:val="00C6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859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antikorr/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0399600/" TargetMode="External"/><Relationship Id="rId5" Type="http://schemas.openxmlformats.org/officeDocument/2006/relationships/hyperlink" Target="https://www.garant.ru/products/ipo/prime/doc/703996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BB0E-3A96-4712-B45A-4F81B377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32</cp:revision>
  <dcterms:created xsi:type="dcterms:W3CDTF">2020-11-12T05:49:00Z</dcterms:created>
  <dcterms:modified xsi:type="dcterms:W3CDTF">2020-11-24T06:19:00Z</dcterms:modified>
</cp:coreProperties>
</file>