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34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2E34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E34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000000" w:rsidRDefault="002E34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E34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ДЕПУТАТОВ</w:t>
      </w:r>
    </w:p>
    <w:p w:rsidR="00000000" w:rsidRDefault="002E34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:rsidR="00000000" w:rsidRDefault="002E34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ЧАПАЕВСКИЙ СЕЛЬСОВЕТ</w:t>
      </w:r>
    </w:p>
    <w:p w:rsidR="00000000" w:rsidRDefault="002E34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ТЮЛЬГАНСКОГО РАЙОНА ОРЕНБУРГСКОЙ ОБЛАСТИ</w:t>
      </w:r>
    </w:p>
    <w:p w:rsidR="00000000" w:rsidRDefault="002E34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ЧЕТВЕРТОГО СОЗЫВА</w:t>
      </w:r>
    </w:p>
    <w:p w:rsidR="00000000" w:rsidRDefault="002E34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2E34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Е Ш Е Н И Е</w:t>
      </w:r>
    </w:p>
    <w:p w:rsidR="00000000" w:rsidRDefault="002E34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000000" w:rsidRDefault="002E344E">
      <w:pPr>
        <w:widowControl w:val="0"/>
        <w:tabs>
          <w:tab w:val="left" w:pos="6360"/>
          <w:tab w:val="left" w:pos="72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2E344E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r>
        <w:rPr>
          <w:rFonts w:ascii="Times New Roman CYR" w:hAnsi="Times New Roman CYR" w:cs="Times New Roman CYR"/>
          <w:sz w:val="28"/>
          <w:szCs w:val="28"/>
        </w:rPr>
        <w:t>03.12.2021 г.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              №  78-СД</w:t>
      </w:r>
    </w:p>
    <w:p w:rsidR="00000000" w:rsidRDefault="002E344E">
      <w:pPr>
        <w:widowControl w:val="0"/>
        <w:tabs>
          <w:tab w:val="left" w:pos="6360"/>
          <w:tab w:val="left" w:pos="72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с.Владимировка</w:t>
      </w:r>
    </w:p>
    <w:p w:rsidR="00000000" w:rsidRDefault="002E344E">
      <w:pPr>
        <w:widowControl w:val="0"/>
        <w:tabs>
          <w:tab w:val="left" w:pos="6360"/>
          <w:tab w:val="left" w:pos="72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E344E">
      <w:pPr>
        <w:widowControl w:val="0"/>
        <w:tabs>
          <w:tab w:val="left" w:pos="6360"/>
          <w:tab w:val="left" w:pos="72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Положения о публичных слушаниях в муниципальном образовании Чапаевский сельсовет Тюльганского района Оренбургско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й области</w:t>
      </w:r>
    </w:p>
    <w:bookmarkEnd w:id="0"/>
    <w:p w:rsidR="00000000" w:rsidRDefault="002E344E">
      <w:pPr>
        <w:widowControl w:val="0"/>
        <w:tabs>
          <w:tab w:val="left" w:pos="6360"/>
          <w:tab w:val="left" w:pos="72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000000" w:rsidRDefault="002E344E">
      <w:pPr>
        <w:widowControl w:val="0"/>
        <w:tabs>
          <w:tab w:val="left" w:pos="6360"/>
          <w:tab w:val="left" w:pos="72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На основании статей 28, 44, 84, Федерального закона «Об общих принципах организации местного самоуправления в Российской Федерации» от 06.10.2003  №131-ФЗ, статьи 9 Федерального закона «О государственной регистрации Уставов муниципальных образ</w:t>
      </w:r>
      <w:r>
        <w:rPr>
          <w:rFonts w:ascii="Times New Roman CYR" w:hAnsi="Times New Roman CYR" w:cs="Times New Roman CYR"/>
          <w:sz w:val="28"/>
          <w:szCs w:val="28"/>
        </w:rPr>
        <w:t xml:space="preserve">ований» от 21.07.2005  №97-ФЗ, Совет депутатов Чапаевского сельсовета решил: 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1. Утвердить Положение о публичных слушаниях на территории Чапаевского сельсовета. 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2. Решение от 29.12.2006 года № 34 "Положение о публичных слушаниях" считать утрати</w:t>
      </w:r>
      <w:r>
        <w:rPr>
          <w:rFonts w:ascii="Times New Roman CYR" w:hAnsi="Times New Roman CYR" w:cs="Times New Roman CYR"/>
          <w:sz w:val="28"/>
          <w:szCs w:val="28"/>
        </w:rPr>
        <w:t>вшим силу.</w:t>
      </w:r>
    </w:p>
    <w:p w:rsidR="00000000" w:rsidRDefault="002E34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3. Настоящее решение подлежит подписанию и вступает в силу после его официального обнародования.</w:t>
      </w:r>
    </w:p>
    <w:p w:rsidR="00000000" w:rsidRDefault="002E34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2E34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2E34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Врио главы муниципального образования                            А.Р. Пунга</w:t>
      </w:r>
    </w:p>
    <w:p w:rsidR="00000000" w:rsidRDefault="002E344E">
      <w:pPr>
        <w:widowControl w:val="0"/>
        <w:tabs>
          <w:tab w:val="left" w:pos="1276"/>
          <w:tab w:val="left" w:pos="6925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8"/>
          <w:szCs w:val="28"/>
        </w:rPr>
      </w:pPr>
    </w:p>
    <w:p w:rsidR="00000000" w:rsidRDefault="002E344E">
      <w:pPr>
        <w:widowControl w:val="0"/>
        <w:tabs>
          <w:tab w:val="left" w:pos="6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Председатель Совета  депутатов                                  Г.М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Рыбинских</w:t>
      </w:r>
    </w:p>
    <w:p w:rsidR="00000000" w:rsidRDefault="002E344E">
      <w:pPr>
        <w:widowControl w:val="0"/>
        <w:tabs>
          <w:tab w:val="left" w:pos="6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E344E">
      <w:pPr>
        <w:widowControl w:val="0"/>
        <w:tabs>
          <w:tab w:val="left" w:pos="6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E34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Разослано:  райадминистрации,  райпрокурору, в дело.</w:t>
      </w:r>
    </w:p>
    <w:p w:rsidR="00000000" w:rsidRDefault="002E344E">
      <w:pPr>
        <w:widowControl w:val="0"/>
        <w:tabs>
          <w:tab w:val="left" w:pos="6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решению Совета депутатов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Чапаевский  сельсовет 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от 03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.12.2021</w:t>
      </w:r>
      <w:r>
        <w:rPr>
          <w:rFonts w:ascii="Times New Roman CYR" w:hAnsi="Times New Roman CYR" w:cs="Times New Roman CYR"/>
          <w:sz w:val="28"/>
          <w:szCs w:val="28"/>
        </w:rPr>
        <w:t xml:space="preserve">  №78-СД 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Положение 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публичных слушаниях в муниципальном образовании Ча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паевский  сельсовет Тюльганского района Оренбургской области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 1.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Основные понятия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целей настоящего Положения используются следующие основные понятия: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публичные слушания</w:t>
      </w:r>
      <w:r>
        <w:rPr>
          <w:rFonts w:ascii="Times New Roman CYR" w:hAnsi="Times New Roman CYR" w:cs="Times New Roman CYR"/>
          <w:sz w:val="28"/>
          <w:szCs w:val="28"/>
        </w:rPr>
        <w:t xml:space="preserve"> - форма реализации прав жителей муниципального образования на участие в </w:t>
      </w:r>
      <w:r>
        <w:rPr>
          <w:rFonts w:ascii="Times New Roman CYR" w:hAnsi="Times New Roman CYR" w:cs="Times New Roman CYR"/>
          <w:sz w:val="28"/>
          <w:szCs w:val="28"/>
        </w:rPr>
        <w:t>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 - деятельность, направленная на оповещение о времени и месте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муниципального образования в публичных слушаниях;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участники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заинтересованные жители муниципального образования,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инициатор публичных слушани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- органы местного самоуправления, а также инициативная группа совершеннолетних граждан, численностью не менее 10 человек, выступившая с инициативой проведения публичных слушаний;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ответственное лицо</w:t>
      </w:r>
      <w:r>
        <w:rPr>
          <w:rFonts w:ascii="Times New Roman CYR" w:hAnsi="Times New Roman CYR" w:cs="Times New Roman CYR"/>
          <w:sz w:val="28"/>
          <w:szCs w:val="28"/>
        </w:rPr>
        <w:t xml:space="preserve"> - специально уполномоченное должностное лицо, осущест</w:t>
      </w:r>
      <w:r>
        <w:rPr>
          <w:rFonts w:ascii="Times New Roman CYR" w:hAnsi="Times New Roman CYR" w:cs="Times New Roman CYR"/>
          <w:sz w:val="28"/>
          <w:szCs w:val="28"/>
        </w:rPr>
        <w:t>вляющее организационные действия по подготовке и проведению публичных слушаний;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итоговый документ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 - рекомендации (предложения), принятые большинством голосов от числа присутствующих участников публичных слушаний.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 2.</w:t>
      </w:r>
      <w:r>
        <w:rPr>
          <w:rFonts w:ascii="Times New Roman CYR" w:hAnsi="Times New Roman CYR" w:cs="Times New Roman CYR"/>
          <w:sz w:val="28"/>
          <w:szCs w:val="28"/>
        </w:rPr>
        <w:t xml:space="preserve"> Цели и при</w:t>
      </w:r>
      <w:r>
        <w:rPr>
          <w:rFonts w:ascii="Times New Roman CYR" w:hAnsi="Times New Roman CYR" w:cs="Times New Roman CYR"/>
          <w:sz w:val="28"/>
          <w:szCs w:val="28"/>
        </w:rPr>
        <w:t>нципы организации и проведения публичных слушаний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 целями организации и проведения публичных слушаний являются: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обсуждение проектов муниципальных правовых актов с участием населения муниципального образования;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выявление и учет общественного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мнения и мнения экспертов по выносимому на публичные слушания вопросу местного значения;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развитие диалоговых механизмов органов власти и населения муниципального образования;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поиск приемлемых альтернатив решения важнейших вопросов местного значения;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выработка предложений и рекомендаций по обсуждаемой проблеме.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 3.</w:t>
      </w:r>
      <w:r>
        <w:rPr>
          <w:rFonts w:ascii="Times New Roman CYR" w:hAnsi="Times New Roman CYR" w:cs="Times New Roman CYR"/>
          <w:sz w:val="28"/>
          <w:szCs w:val="28"/>
        </w:rPr>
        <w:t xml:space="preserve"> Вопросы,</w:t>
      </w:r>
      <w:r>
        <w:rPr>
          <w:rFonts w:ascii="Times New Roman CYR" w:hAnsi="Times New Roman CYR" w:cs="Times New Roman CYR"/>
          <w:sz w:val="28"/>
          <w:szCs w:val="28"/>
        </w:rPr>
        <w:t xml:space="preserve"> выносимые на публичные слушания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Слушания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В обязательном поряд</w:t>
      </w:r>
      <w:r>
        <w:rPr>
          <w:rFonts w:ascii="Times New Roman CYR" w:hAnsi="Times New Roman CYR" w:cs="Times New Roman CYR"/>
          <w:sz w:val="28"/>
          <w:szCs w:val="28"/>
        </w:rPr>
        <w:t>ке на публичные слушания выносятся: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</w:t>
      </w:r>
      <w:r>
        <w:rPr>
          <w:rFonts w:ascii="Times New Roman CYR" w:hAnsi="Times New Roman CYR" w:cs="Times New Roman CYR"/>
          <w:sz w:val="28"/>
          <w:szCs w:val="28"/>
        </w:rPr>
        <w:t xml:space="preserve">менения в форме точного воспроизведения положений </w:t>
      </w:r>
      <w:hyperlink r:id="rId5" w:history="1">
        <w:r>
          <w:rPr>
            <w:rFonts w:ascii="Times New Roman CYR" w:hAnsi="Times New Roman CYR" w:cs="Times New Roman CYR"/>
            <w:sz w:val="28"/>
            <w:szCs w:val="28"/>
          </w:rPr>
          <w:t>Конституции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Российской Федерации, федеральных законов, конституции (ус</w:t>
      </w:r>
      <w:r>
        <w:rPr>
          <w:rFonts w:ascii="Times New Roman CYR" w:hAnsi="Times New Roman CYR" w:cs="Times New Roman CYR"/>
          <w:sz w:val="28"/>
          <w:szCs w:val="28"/>
        </w:rPr>
        <w:t>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проект местного бюджета и отчет о его исполнении;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проект стратегии социально-экономического развития муниципальног</w:t>
      </w:r>
      <w:r>
        <w:rPr>
          <w:rFonts w:ascii="Times New Roman CYR" w:hAnsi="Times New Roman CYR" w:cs="Times New Roman CYR"/>
          <w:sz w:val="28"/>
          <w:szCs w:val="28"/>
        </w:rPr>
        <w:t>о образования;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вопросы о преобразовании муниципального образования, за исключением случаев, установленных Федеральным законом от 06.10.2003 № 131-ФЗ «Об общих принципах организации местного самоуправления в Российской Федерации»;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8) в иных случаях устан</w:t>
      </w:r>
      <w:r>
        <w:rPr>
          <w:rFonts w:ascii="Times New Roman CYR" w:hAnsi="Times New Roman CYR" w:cs="Times New Roman CYR"/>
          <w:sz w:val="28"/>
          <w:szCs w:val="28"/>
        </w:rPr>
        <w:t>овленных законодательством Российской Федерации.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 4.</w:t>
      </w:r>
      <w:r>
        <w:rPr>
          <w:rFonts w:ascii="Times New Roman CYR" w:hAnsi="Times New Roman CYR" w:cs="Times New Roman CYR"/>
          <w:sz w:val="28"/>
          <w:szCs w:val="28"/>
        </w:rPr>
        <w:t xml:space="preserve"> Инициатива проведения публичных слушаний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Публичные слушания проводятся по инициативе населения муниципального образования или органов местного самоуправления.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Жители муниципального образован</w:t>
      </w:r>
      <w:r>
        <w:rPr>
          <w:rFonts w:ascii="Times New Roman CYR" w:hAnsi="Times New Roman CYR" w:cs="Times New Roman CYR"/>
          <w:sz w:val="28"/>
          <w:szCs w:val="28"/>
        </w:rPr>
        <w:t>ия для инициирования публичных слушаний по вопросам местного значения формируют инициативную группу, численностью не менее 10 человек, достигших 18 летнего возраста (далее инициативная группа). Решение о формировании инициативной группы принимается ее член</w:t>
      </w:r>
      <w:r>
        <w:rPr>
          <w:rFonts w:ascii="Times New Roman CYR" w:hAnsi="Times New Roman CYR" w:cs="Times New Roman CYR"/>
          <w:sz w:val="28"/>
          <w:szCs w:val="28"/>
        </w:rPr>
        <w:t>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До обращения с предложением о проведении публичных слушаний в Представительный орг</w:t>
      </w:r>
      <w:r>
        <w:rPr>
          <w:rFonts w:ascii="Times New Roman CYR" w:hAnsi="Times New Roman CYR" w:cs="Times New Roman CYR"/>
          <w:sz w:val="28"/>
          <w:szCs w:val="28"/>
        </w:rPr>
        <w:t>ан муниципального образования членами инициативной группы должно быть собрано не менее 50 подписей жителей муниципального образования, достигших возраста 18 лет, в поддержку проведения публичных слушаний по поставленному вопросу. Подписи должны быть собран</w:t>
      </w:r>
      <w:r>
        <w:rPr>
          <w:rFonts w:ascii="Times New Roman CYR" w:hAnsi="Times New Roman CYR" w:cs="Times New Roman CYR"/>
          <w:sz w:val="28"/>
          <w:szCs w:val="28"/>
        </w:rPr>
        <w:t>ы в срок, не превышающий 20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Подписные листы включают ФИО и личную подпись лица, адре</w:t>
      </w:r>
      <w:r>
        <w:rPr>
          <w:rFonts w:ascii="Times New Roman CYR" w:hAnsi="Times New Roman CYR" w:cs="Times New Roman CYR"/>
          <w:sz w:val="28"/>
          <w:szCs w:val="28"/>
        </w:rPr>
        <w:t>с и контактный телефон/электронный адрес. Расходы, связанные со сбором подписей, несет инициативная группа.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Члены инициативной группы при обращении в Представительный орган муниципального образования с предложением о проведении публичных слушаний, подаю</w:t>
      </w:r>
      <w:r>
        <w:rPr>
          <w:rFonts w:ascii="Times New Roman CYR" w:hAnsi="Times New Roman CYR" w:cs="Times New Roman CYR"/>
          <w:sz w:val="28"/>
          <w:szCs w:val="28"/>
        </w:rPr>
        <w:t>т следующие документы: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сведения о членах инициативной группы (фамилия, имя, отчество, дата рождения, серия</w:t>
      </w:r>
      <w:r>
        <w:rPr>
          <w:rFonts w:ascii="Times New Roman CYR" w:hAnsi="Times New Roman CYR" w:cs="Times New Roman CYR"/>
          <w:sz w:val="28"/>
          <w:szCs w:val="28"/>
        </w:rPr>
        <w:t xml:space="preserve"> и номер паспорта гражданина или документа, заменяющего паспорт гражданина, адрес места жительства, личная подпись);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протокол о создании инициативной группы граждан;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подписи жителей в поддержку инициативы проведения публичных слушаний, оформленные в ви</w:t>
      </w:r>
      <w:r>
        <w:rPr>
          <w:rFonts w:ascii="Times New Roman CYR" w:hAnsi="Times New Roman CYR" w:cs="Times New Roman CYR"/>
          <w:sz w:val="28"/>
          <w:szCs w:val="28"/>
        </w:rPr>
        <w:t>де подписных листов.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Представительный орган рассматривает поданные инициативной группой документы в течение 30 дней со дня их поступления.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Представительный орган по результатам рассмотрения поданных инициативной группой документов большинством голосо</w:t>
      </w:r>
      <w:r>
        <w:rPr>
          <w:rFonts w:ascii="Times New Roman CYR" w:hAnsi="Times New Roman CYR" w:cs="Times New Roman CYR"/>
          <w:sz w:val="28"/>
          <w:szCs w:val="28"/>
        </w:rPr>
        <w:t>в принимает решение о назначении публичных слушаний или обоснованно отказывает в их назначении.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</w:t>
      </w:r>
      <w:r>
        <w:rPr>
          <w:rFonts w:ascii="Times New Roman CYR" w:hAnsi="Times New Roman CYR" w:cs="Times New Roman CYR"/>
          <w:sz w:val="28"/>
          <w:szCs w:val="28"/>
        </w:rPr>
        <w:t>ьно собранных подписей жителей муниципального образования. В этом случае слушания по данному вопросу местного значения назначаются представительным органом в обязательном порядке.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 5.</w:t>
      </w:r>
      <w:r>
        <w:rPr>
          <w:rFonts w:ascii="Times New Roman CYR" w:hAnsi="Times New Roman CYR" w:cs="Times New Roman CYR"/>
          <w:sz w:val="28"/>
          <w:szCs w:val="28"/>
        </w:rPr>
        <w:t xml:space="preserve"> Порядок назначения публичных слушаний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Публичные слушания, иниц</w:t>
      </w:r>
      <w:r>
        <w:rPr>
          <w:rFonts w:ascii="Times New Roman CYR" w:hAnsi="Times New Roman CYR" w:cs="Times New Roman CYR"/>
          <w:sz w:val="28"/>
          <w:szCs w:val="28"/>
        </w:rPr>
        <w:t>иированные населением или представительным органом муниципального образования, назначаются представительным органом. Публичные слушания, инициированные главой муниципального образования, назначаются исполнительным органом муниципального образования.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Реш</w:t>
      </w:r>
      <w:r>
        <w:rPr>
          <w:rFonts w:ascii="Times New Roman CYR" w:hAnsi="Times New Roman CYR" w:cs="Times New Roman CYR"/>
          <w:sz w:val="28"/>
          <w:szCs w:val="28"/>
        </w:rPr>
        <w:t>ение (постановление) о назначении публичных слушаний по вопросам местного значения должно приниматься не позднее, чем за 10 дней до их проведения.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В решении (постановлении) о назначении публичных слушаний указываются: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тема публичных слушаний (вопросы,</w:t>
      </w:r>
      <w:r>
        <w:rPr>
          <w:rFonts w:ascii="Times New Roman CYR" w:hAnsi="Times New Roman CYR" w:cs="Times New Roman CYR"/>
          <w:sz w:val="28"/>
          <w:szCs w:val="28"/>
        </w:rPr>
        <w:t xml:space="preserve"> наименование проекта муниципального правового акта, выносимые на публичные слушания);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инициатор проведения публичных слушаний;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дата и время проведения публичных слушаний;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место проведения публичных слушаний;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сроки и место представления предложений</w:t>
      </w:r>
      <w:r>
        <w:rPr>
          <w:rFonts w:ascii="Times New Roman CYR" w:hAnsi="Times New Roman CYR" w:cs="Times New Roman CYR"/>
          <w:sz w:val="28"/>
          <w:szCs w:val="28"/>
        </w:rPr>
        <w:t xml:space="preserve"> и замечаний по вопросам, обсуждаемым на публичных слушаниях, заявок на участие в публичных слушаниях.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Решение (постановление) о назначении публичных слушаний вступает в силу со дня принятия. Решение (постановление) о назначении публичных слушаний, прое</w:t>
      </w:r>
      <w:r>
        <w:rPr>
          <w:rFonts w:ascii="Times New Roman CYR" w:hAnsi="Times New Roman CYR" w:cs="Times New Roman CYR"/>
          <w:sz w:val="28"/>
          <w:szCs w:val="28"/>
        </w:rPr>
        <w:t>кт муниципального правового акта, выносимого на публичные слушания, подлежат размещению и обнародованию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</w:t>
      </w:r>
      <w:r>
        <w:rPr>
          <w:rFonts w:ascii="Times New Roman CYR" w:hAnsi="Times New Roman CYR" w:cs="Times New Roman CYR"/>
          <w:sz w:val="28"/>
          <w:szCs w:val="28"/>
        </w:rPr>
        <w:t>ой информации, а также на официальных сайтах органов местного самоуправления в сети Интернет.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 6.</w:t>
      </w:r>
      <w:r>
        <w:rPr>
          <w:rFonts w:ascii="Times New Roman CYR" w:hAnsi="Times New Roman CYR" w:cs="Times New Roman CYR"/>
          <w:sz w:val="28"/>
          <w:szCs w:val="28"/>
        </w:rPr>
        <w:t xml:space="preserve"> Порядок организации публичных слушаний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Орган местного самоуправления, принявший решение о назначении публичных слушаний, возлагает обязанность по по</w:t>
      </w:r>
      <w:r>
        <w:rPr>
          <w:rFonts w:ascii="Times New Roman CYR" w:hAnsi="Times New Roman CYR" w:cs="Times New Roman CYR"/>
          <w:sz w:val="28"/>
          <w:szCs w:val="28"/>
        </w:rPr>
        <w:t>дготовке и проведению публичных слушаний на ответственное лицо из числа сотрудников соответствующего органа местного самоуправления.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В случае назначения публичных слушаний по инициативе населения, представители инициативной группы имеют право непосредст</w:t>
      </w:r>
      <w:r>
        <w:rPr>
          <w:rFonts w:ascii="Times New Roman CYR" w:hAnsi="Times New Roman CYR" w:cs="Times New Roman CYR"/>
          <w:sz w:val="28"/>
          <w:szCs w:val="28"/>
        </w:rPr>
        <w:t>венно присутствовать и участвовать в подготовке к публичным слушаниям.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Расходы на подготовку и проведение публичных слушаний осуществляются из средств бюджета муниципального образования. 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Ответственное лицо в рамках своей работы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подготавливает пове</w:t>
      </w:r>
      <w:r>
        <w:rPr>
          <w:rFonts w:ascii="Times New Roman CYR" w:hAnsi="Times New Roman CYR" w:cs="Times New Roman CYR"/>
          <w:sz w:val="28"/>
          <w:szCs w:val="28"/>
        </w:rPr>
        <w:t>стку публичных слушаний и размещает итоговый вариант повестки в сети Интернет на сайте органов местного самоуправления;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</w:t>
      </w:r>
      <w:r>
        <w:rPr>
          <w:rFonts w:ascii="Times New Roman CYR" w:hAnsi="Times New Roman CYR" w:cs="Times New Roman CYR"/>
          <w:sz w:val="28"/>
          <w:szCs w:val="28"/>
        </w:rPr>
        <w:t>инимает заявки на выступления в рамках публичных слушаний;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размещает предложения и рекомендации, поступившие от граждан и экспертов по вопросам, выносимым на публичные слушания, на сайт органов местного самоуправления для ознакомления с ними жителей муни</w:t>
      </w:r>
      <w:r>
        <w:rPr>
          <w:rFonts w:ascii="Times New Roman CYR" w:hAnsi="Times New Roman CYR" w:cs="Times New Roman CYR"/>
          <w:sz w:val="28"/>
          <w:szCs w:val="28"/>
        </w:rPr>
        <w:t>ципального образования;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формирует единый документ для распространения на публичных слушаниях, содержащий все поступившие в адрес ответственного лица предложения с указанием лиц, их внесших;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производит информирование граждан о времени и месте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публичных слушаний через средства массовой информации, сеть Интернет иными способами;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организует проведение голосования участников публичных слушаний;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устанавливает результаты публичных слушаний;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подготавливает проект итогового документа, состоящего</w:t>
      </w:r>
      <w:r>
        <w:rPr>
          <w:rFonts w:ascii="Times New Roman CYR" w:hAnsi="Times New Roman CYR" w:cs="Times New Roman CYR"/>
          <w:sz w:val="28"/>
          <w:szCs w:val="28"/>
        </w:rPr>
        <w:t xml:space="preserve"> из рекомендаций и передает его для размещения и обнародования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</w:t>
      </w:r>
      <w:r>
        <w:rPr>
          <w:rFonts w:ascii="Times New Roman CYR" w:hAnsi="Times New Roman CYR" w:cs="Times New Roman CYR"/>
          <w:sz w:val="28"/>
          <w:szCs w:val="28"/>
        </w:rPr>
        <w:t>тах органов местного самоуправления в сети Интернет;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организует оформление рекомендаций и предложений, принятых на публичных слушаниях по итогам обсуждения поставленного вопроса и передает их в орган местного самоуправления, назначивший публичные слушани</w:t>
      </w:r>
      <w:r>
        <w:rPr>
          <w:rFonts w:ascii="Times New Roman CYR" w:hAnsi="Times New Roman CYR" w:cs="Times New Roman CYR"/>
          <w:sz w:val="28"/>
          <w:szCs w:val="28"/>
        </w:rPr>
        <w:t>я.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 7.</w:t>
      </w:r>
      <w:r>
        <w:rPr>
          <w:rFonts w:ascii="Times New Roman CYR" w:hAnsi="Times New Roman CYR" w:cs="Times New Roman CYR"/>
          <w:sz w:val="28"/>
          <w:szCs w:val="28"/>
        </w:rPr>
        <w:t xml:space="preserve"> Порядок проведения публичных слушаний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Публичные слушания проводятся в удобное для жителей муниципального образования время по рабочим дням не ранее чем с 17.00 часов и заканчивая не позднее 22.00 часов.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Публичные слушания проводятся в о</w:t>
      </w:r>
      <w:r>
        <w:rPr>
          <w:rFonts w:ascii="Times New Roman CYR" w:hAnsi="Times New Roman CYR" w:cs="Times New Roman CYR"/>
          <w:sz w:val="28"/>
          <w:szCs w:val="28"/>
        </w:rPr>
        <w:t>тапливаемом, электрифицированном помещении, находящемся в транспортной доступности. Ответственное лицо публичных слушаний обязано обеспечить беспрепятственный доступ в помещение, в котором проводятся слушания, желающим участвовать в слушаниях. Доступ в пом</w:t>
      </w:r>
      <w:r>
        <w:rPr>
          <w:rFonts w:ascii="Times New Roman CYR" w:hAnsi="Times New Roman CYR" w:cs="Times New Roman CYR"/>
          <w:sz w:val="28"/>
          <w:szCs w:val="28"/>
        </w:rPr>
        <w:t>ещение прекращается только в том случае, если заняты все имеющиеся в нем места. В зале, где будут проводиться слушания, в первую очередь размещаются лица, записавшиеся на выступление.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Председательствующим на публичных слушаниях является представитель ор</w:t>
      </w:r>
      <w:r>
        <w:rPr>
          <w:rFonts w:ascii="Times New Roman CYR" w:hAnsi="Times New Roman CYR" w:cs="Times New Roman CYR"/>
          <w:sz w:val="28"/>
          <w:szCs w:val="28"/>
        </w:rPr>
        <w:t>гана местного самоуправления. Он открывает слушания и оглашает перечень вопросов публичных слушаний, предложения по порядку проведения слушаний, представляет присутствующих и инициаторов. Секретарь публичных слушаний ведет протокол.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Председательствующий</w:t>
      </w:r>
      <w:r>
        <w:rPr>
          <w:rFonts w:ascii="Times New Roman CYR" w:hAnsi="Times New Roman CYR" w:cs="Times New Roman CYR"/>
          <w:sz w:val="28"/>
          <w:szCs w:val="28"/>
        </w:rPr>
        <w:t xml:space="preserve"> предоставляет слово лицу, уполномоченному инициаторами проведения публичных слушаний, и лицам желающим выступить.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После выступлений проводятся прения. 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Участники слушаний, вправе снять свои рекомендации и (или) присоединиться к предложениям, выдвину</w:t>
      </w:r>
      <w:r>
        <w:rPr>
          <w:rFonts w:ascii="Times New Roman CYR" w:hAnsi="Times New Roman CYR" w:cs="Times New Roman CYR"/>
          <w:sz w:val="28"/>
          <w:szCs w:val="28"/>
        </w:rPr>
        <w:t>тым другими участниками публичных слушаний.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По итогам обсуждений составляется единый список предложений и рекомендаций по решению (постановлению) вынесенного на публичные слушания. В итоговый документ для голосования входят все не отозванные их авторами</w:t>
      </w:r>
      <w:r>
        <w:rPr>
          <w:rFonts w:ascii="Times New Roman CYR" w:hAnsi="Times New Roman CYR" w:cs="Times New Roman CYR"/>
          <w:sz w:val="28"/>
          <w:szCs w:val="28"/>
        </w:rPr>
        <w:t xml:space="preserve"> рекомендации и предложения.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(постановления). Решения на публичных слушаниях принимаются путем откр</w:t>
      </w:r>
      <w:r>
        <w:rPr>
          <w:rFonts w:ascii="Times New Roman CYR" w:hAnsi="Times New Roman CYR" w:cs="Times New Roman CYR"/>
          <w:sz w:val="28"/>
          <w:szCs w:val="28"/>
        </w:rPr>
        <w:t>ытого голосования простым большинством голосов от числа присутствующих участников слушаний. Каждый присутствующий на слушаниях обладает одним голосом, который он отдает за один из предложенных вариантов решения вопроса местного значения с учетом рекомендац</w:t>
      </w:r>
      <w:r>
        <w:rPr>
          <w:rFonts w:ascii="Times New Roman CYR" w:hAnsi="Times New Roman CYR" w:cs="Times New Roman CYR"/>
          <w:sz w:val="28"/>
          <w:szCs w:val="28"/>
        </w:rPr>
        <w:t>ий, выработанных в рамках слушаний. На голосование должен быть поставлен вопрос об отклонении всех предложенных вариантов решения вопроса местного значения. Результаты голосования заносятся в протокол.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 В случае отклонения участниками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 всех предложенных вариантов решения (постановления), заинтересованные лица с учетом высказанных замечаний и предложений в течение срока, определенного на самих слушаниях, проводят доработку итогового решения. Доработанное решение снова выносятся на публич</w:t>
      </w:r>
      <w:r>
        <w:rPr>
          <w:rFonts w:ascii="Times New Roman CYR" w:hAnsi="Times New Roman CYR" w:cs="Times New Roman CYR"/>
          <w:sz w:val="28"/>
          <w:szCs w:val="28"/>
        </w:rPr>
        <w:t>ные слушания. Количество дополнительных публичных слушаний не ограничивается.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 Ответственное лицо в течение 3 дней оформляет результаты публичных слушаний в единый документ и передает его копии в органы местного самоуправления, инициативной группе, а та</w:t>
      </w:r>
      <w:r>
        <w:rPr>
          <w:rFonts w:ascii="Times New Roman CYR" w:hAnsi="Times New Roman CYR" w:cs="Times New Roman CYR"/>
          <w:sz w:val="28"/>
          <w:szCs w:val="28"/>
        </w:rPr>
        <w:t>кже передает его для размещения и обнародования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сайтах органов мес</w:t>
      </w:r>
      <w:r>
        <w:rPr>
          <w:rFonts w:ascii="Times New Roman CYR" w:hAnsi="Times New Roman CYR" w:cs="Times New Roman CYR"/>
          <w:sz w:val="28"/>
          <w:szCs w:val="28"/>
        </w:rPr>
        <w:t>тного самоуправления в сети Интернет.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 8.</w:t>
      </w:r>
      <w:r>
        <w:rPr>
          <w:rFonts w:ascii="Times New Roman CYR" w:hAnsi="Times New Roman CYR" w:cs="Times New Roman CYR"/>
          <w:sz w:val="28"/>
          <w:szCs w:val="28"/>
        </w:rPr>
        <w:t xml:space="preserve"> Результаты публичных слушаний</w:t>
      </w:r>
    </w:p>
    <w:p w:rsidR="00000000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Итоговый документ, принятый в рамках публичных слушаний, носит рекомендательный характер для органов местного самоуправления муниципального образования.</w:t>
      </w:r>
    </w:p>
    <w:p w:rsidR="002E344E" w:rsidRDefault="002E3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Итоговый документ </w:t>
      </w:r>
      <w:r>
        <w:rPr>
          <w:rFonts w:ascii="Times New Roman CYR" w:hAnsi="Times New Roman CYR" w:cs="Times New Roman CYR"/>
          <w:sz w:val="28"/>
          <w:szCs w:val="28"/>
        </w:rPr>
        <w:t>публичных слушаний по каждому вопросу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 Итоги рассмотрения в обязательном порядке довод</w:t>
      </w:r>
      <w:r>
        <w:rPr>
          <w:rFonts w:ascii="Times New Roman CYR" w:hAnsi="Times New Roman CYR" w:cs="Times New Roman CYR"/>
          <w:sz w:val="28"/>
          <w:szCs w:val="28"/>
        </w:rPr>
        <w:t>ятся до инициаторов публичных слушаний и до населения муниципального образования путем передачи информации для размещения и обнародования в средствах массовой информации, учрежденных органами местного самоуправления для официального опубликования нормативн</w:t>
      </w:r>
      <w:r>
        <w:rPr>
          <w:rFonts w:ascii="Times New Roman CYR" w:hAnsi="Times New Roman CYR" w:cs="Times New Roman CYR"/>
          <w:sz w:val="28"/>
          <w:szCs w:val="28"/>
        </w:rPr>
        <w:t>ых правовых актов и иной официальной информации, а также на официальных сайтах органов местного самоуправления в сети Интернет.</w:t>
      </w:r>
    </w:p>
    <w:sectPr w:rsidR="002E34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8"/>
    <w:rsid w:val="000F2288"/>
    <w:rsid w:val="002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A55390E6EA0C7F08484318D37182D6FD164A93A6E9F1FA7C169C4B80F1D6F02BF43E1334FC93DECA9890a0MDF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2021-12-03T12:25:00Z</dcterms:created>
  <dcterms:modified xsi:type="dcterms:W3CDTF">2021-12-03T12:25:00Z</dcterms:modified>
</cp:coreProperties>
</file>